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应用更广泛，耐用性更高</w:t>
      </w:r>
    </w:p>
    <w:p>
      <w:pPr>
        <w:pStyle w:val="label-first"/>
        <w:keepNext/>
        <w:ind w:left="0"/>
      </w:pPr>
      <w:r>
        <w:rPr>
          <w:b/>
          <w:sz w:val="20"/>
        </w:rPr>
        <w:t xml:space="preserve">贝加莱X20系统获得了GL、DNV、KR、LR和ABS认证</w:t>
      </w:r>
    </w:p>
    <w:p>
      <w:pPr>
        <w:pStyle w:val="par-first"/>
        <w:ind w:left="0"/>
        <w:jc w:val="left"/>
      </w:pPr>
      <w:r>
        <w:rPr>
          <w:i/>
          <w:i/>
        </w:rPr>
        <w:t xml:space="preserve">得益于X20控制和I/O系统获得了DNV、KR、LR和ABS的额外认证，现在在海上环境中使用贝加莱自动化技术变得比以前更简易、更灵活。贝加莱还扩展了</w:t>
      </w:r>
      <w:r>
        <w:rPr>
          <w:i/>
          <w:i/>
        </w:rPr>
        <w:t>X20系统</w:t>
      </w:r>
      <w:r>
        <w:rPr>
          <w:i/>
          <w:i/>
        </w:rPr>
        <w:t xml:space="preserve">的温度和输入电压范围。</w:t>
      </w:r>
    </w:p>
    <w:p>
      <w:pPr>
        <w:pStyle w:val="par"/>
        <w:ind w:left="0"/>
      </w:pPr>
      <w:r>
        <w:rPr/>
        <w:t xml:space="preserve">海上作业对自动化组件提出了极高的要求，因此负责的认证机构会对它们进行密集测试。在获得了德国劳埃德船级社（GL）的认证后，最近新增的挪威船级社（DNV）、韩国船级社（KR）、劳氏船级社（LR）和美国船级社（ABS）的型式检验证书进一步证明了X20控制和I/O系统在极端环境中的耐用性。</w:t>
      </w:r>
    </w:p>
    <w:p>
      <w:pPr>
        <w:pStyle w:val="label"/>
        <w:keepNext/>
        <w:ind w:left="0"/>
      </w:pPr>
      <w:r>
        <w:rPr>
          <w:b/>
          <w:sz w:val="20"/>
        </w:rPr>
        <w:t xml:space="preserve">低至-40°C</w:t>
      </w:r>
    </w:p>
    <w:p>
      <w:pPr>
        <w:pStyle w:val="par"/>
        <w:ind w:left="0"/>
      </w:pPr>
      <w:r>
        <w:rPr/>
        <w:t xml:space="preserve">X20组件中带涂层的型号现在还适用于更宽的工作温度范围。它们甚至可以在低至-40°C的启动温度下安全地使用。扩大温度范围有利于其在冷藏设施和极地环境中使用。X20涂层模块是电路板经过特殊涂层处理的X20标准模块，以此可以保护它们免受冷凝、有害气体和其它环境因素的影响。</w:t>
      </w:r>
    </w:p>
    <w:p>
      <w:pPr>
        <w:pStyle w:val="label"/>
        <w:keepNext/>
        <w:ind w:left="0"/>
      </w:pPr>
      <w:r>
        <w:rPr>
          <w:b/>
          <w:sz w:val="20"/>
        </w:rPr>
        <w:t xml:space="preserve">大型电力网络</w:t>
      </w:r>
    </w:p>
    <w:p>
      <w:pPr>
        <w:pStyle w:val="par"/>
        <w:ind w:left="0"/>
      </w:pPr>
      <w:r>
        <w:rPr/>
        <w:t xml:space="preserve">扩大输入电压范围可进一步简化X20系列在海上环境中的使用。24 VDC电源现在可以容忍-25%至+30%的偏差。这相当于18至31.2 VDC的电压范围。这有助于其在大面积分布的电力网络中使用，例如在船上。即使在长距离电缆上出现电压下降，也没有必要使用分布式电源。</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GL、DNV、KR、LR和ABS认证使贝加莱的X20控制和I/O系统可以更轻松地在更广泛的海事应用中使用。</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