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Perfekcyjne sterowanie ruchem w każdym zastosowaniu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rozszerza zakres obsługiwanych silników wyposażonych w Hiperface DSL Safety</w:t>
      </w:r>
    </w:p>
    <w:p>
      <w:pPr>
        <w:pStyle w:val="par-first"/>
        <w:ind w:left="0"/>
        <w:jc w:val="left"/>
      </w:pPr>
      <w:r>
        <w:rPr>
          <w:i/>
          <w:i/>
        </w:rPr>
        <w:t xml:space="preserve">Funkcje bezpieczeństwa serwonapędu B&amp;R ACOPOS P3 są obecnie dostępne również w przypadku silników z bezpiecznym enkoderem Hiperface DSL. Konstruktorzy maszyn wdrażający bezpieczne aplikacje sterowania ruchem mają teraz do wyboru szerszy zakres silników.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Hiperface DSL Safety ugruntował swoją pozycję na rynku jako czołowy standard przemysłowy – obok EnDat 2.2 Safety – w zakresie bezpiecznego transferu danych pomiędzy silnikami i serwonapędami. Podobnie jak EnDat 2.2, HDSL Safety obsługuje wszystkie funkcje bezpieczeństwa B&amp;R. Dotyczy to, m. in. takich funkcji, jak Safely Limited Speed (SLS), Safe Operating Stop (SOS) i Safe Limited Increment (SLI).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 każdego zastosowania</w:t>
      </w:r>
    </w:p>
    <w:p>
      <w:pPr>
        <w:pStyle w:val="par"/>
        <w:ind w:left="0"/>
      </w:pPr>
      <w:r>
        <w:rPr/>
        <w:t xml:space="preserve">Obsługa HDSL Safety jest dostępna wraz z łatwą aktualizacją oprogramowania sprzętowego. Typ enkodera jest określony przez parametry w module bezpieczeństwa serwonapędu. Moduły można dowolnie łączyć, bez względu na to, czy zostały skonfigurowane z EnDat 2.2 czy z HDSL Safety. Twórcy aplikacji mogą wybrać najlepszy system enkodera dla dowolnej aplikacji.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Hiperface DSL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Hiperface DSL Safety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Funkcje bezpieczeństwa serwonapędu B&amp;R ACOPOS P3 są obecnie dostępne również w przypadku silników z bezpiecznym enkoderem Hiperface DSL.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