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Безопасность без границ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упрощает обмен информацией о безопасности между машинами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Инженеры B&amp;R упростили обмен информацией о безопасности между машинами и модулями. После обновления пакета mapp Safety, программируемые функции безопасности можно применять в сложных производственных системах без каких-либо усилий, что значительно сокращает время, в сравнении с традиционным внедрением общесистемной функциональной безопасности.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Для выполнения требований Индустрии 4.0 современное производственное оборудование должно тесно взаимодействовать между собой. Оборудование, машины, производственные линии и ячейки должны безопасно и надежно обмениваться данными друг с другом. Важно понимать, что внедрение общесистемного аварийного останова - это одно, а настройка тонких и интеллектуальных мер безопасности - совсем другое. Обычно каждая отдельная конфигурация производственной системы требует разработки и проверки соответствующего приложения безопасности, но с mapp Safety это останется в прошлом.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Простая реализация с mapp Safety</w:t>
      </w:r>
    </w:p>
    <w:p>
      <w:pPr>
        <w:pStyle w:val="par"/>
        <w:ind w:left="0"/>
      </w:pPr>
      <w:r>
        <w:rPr/>
        <w:t xml:space="preserve">Необходимость в дополнительных накладных расходах полностью устраняется. Программный пакет mapp Safety значительно улучшает обмен данными между контроллерами безопасности и упрощает приложения безопасности. Новые компоненты можно добавить в любой момент времени без необходимости переписывать приложение безопасности. При этом всё, что требуется для подключения нового компонента - это настроить несколько параметров на экране визуализации.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Прямой обмен данными</w:t>
      </w:r>
    </w:p>
    <w:p>
      <w:pPr>
        <w:pStyle w:val="par"/>
        <w:ind w:left="0"/>
      </w:pPr>
      <w:r>
        <w:rPr/>
        <w:t xml:space="preserve">Контроллеры безопасности SafeLOGIC позволяют пользователям настраивать до 150 коммуникационных соединений с другими контроллерами безопасности. Даже суперкомпактные контроллеры SafeLOGIC-X поддерживают все функции и могут быть интегрированы в межмашинные сети.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Безопасная связь</w:t>
      </w:r>
    </w:p>
    <w:p>
      <w:pPr>
        <w:pStyle w:val="par"/>
        <w:ind w:left="0"/>
      </w:pPr>
      <w:r>
        <w:rPr/>
        <w:t xml:space="preserve">Данные передаются по протоколу openSAFETY через POWERLINK или UDP. В качестве среды транспортировки данных можно использовать любую проверенную кабельную или беспроводную технологию связи.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SafeLOGIC Conn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SafeLOGIC Connections"/>
                    <pic:cNvPicPr/>
                  </pic:nvPicPr>
                  <pic:blipFill>
                    <a:blip xmlns:r="http://schemas.openxmlformats.org/officeDocument/2006/relationships" cstate="print" r:embed="N103E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Благодаря безопасной и гибкой связи между контроллерами безопасности, технологии B&amp;R привносят дополнительные преимущества программируемой функциональной безопасности для обеспечения безопасности всей системы.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2" w:type="default"/>
      <w:footerReference xmlns:r="http://schemas.openxmlformats.org/officeDocument/2006/relationships" r:id="N104F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2" Target="header1.xml" Type="http://schemas.openxmlformats.org/officeDocument/2006/relationships/header"/><Relationship Id="N104F6" Target="footer1.xml" Type="http://schemas.openxmlformats.org/officeDocument/2006/relationships/footer"/><Relationship Id="N103E1" Target="media/N103E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9" Target="media/N104C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