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100% di prestazioni nel 50% dello spazio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nuova famiglia di PLC compatti di B&amp;R fa spazio nel cabinet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introduce una nuova famiglia di PLC: X20 Embedded. I PLC combinano elevate prestazioni e numerose interfacce integrate in un alloggiamento di soli 55 mm di larghezza, ovvero la metà della larghezza dei dispositivi comparabili.</w:t>
      </w:r>
    </w:p>
    <w:p>
      <w:pPr>
        <w:pStyle w:val="par"/>
        <w:ind w:left="0"/>
      </w:pPr>
      <w:r>
        <w:rPr/>
        <w:t xml:space="preserve">Con i loro potenti processori Intel Atom, i nuovi PLC sono adatti anche per applicazioni esigenti con tempi di ciclo brevi. I dispositivi compatti possono persino controllare un'applicazione robotica a tutti gli effetti. I costruttori di macchine risparmiano quindi sia sui costi sia sullo spazio nel cabinet.</w:t>
      </w:r>
    </w:p>
    <w:p>
      <w:pPr>
        <w:pStyle w:val="par"/>
        <w:ind w:left="0"/>
      </w:pPr>
      <w:r>
        <w:rPr/>
        <w:t xml:space="preserve">Vengono forniti di serie con due porte USB, una scheda di memoria flash integrata e due porte Ethernet. Uno switch integrato supporta il cablaggio daisy-chain senza alcuna infrastruttura di rete aggiuntiva.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Interfacce integrate</w:t>
      </w:r>
    </w:p>
    <w:p>
      <w:pPr>
        <w:pStyle w:val="par"/>
        <w:ind w:left="0"/>
      </w:pPr>
      <w:r>
        <w:rPr/>
        <w:t xml:space="preserve">I dispositivi sono dotati di interfacce hardware per POWERLINK e RS485. L'interfaccia RS485 può essere utilizzata per collegare un convertitore di frequenza direttamente al PLC senza hardware aggiuntivo. Anche l'alimentatore è integrato. Nonostante le elevate prestazioni, i PLC non richiedono ventole o batterie, il che li rende completamente esenti da manutenzione.</w:t>
      </w:r>
    </w:p>
    <w:p>
      <w:pPr>
        <w:pStyle w:val="par"/>
        <w:ind w:left="0"/>
      </w:pPr>
      <w:r>
        <w:rPr/>
        <w:t xml:space="preserve">Le varianti opzionali con slot di interfaccia consentono ai PLC di supportare protocolli fieldbus aggiuntivi. Tutte le schede di interfaccia B&amp;R possono essere combinate con la serie X20 Embedded e tutti i moduli I/O X20 possono essere collegati come di consueto.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Embed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Embedded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nuova famiglia di PLC X20 Embedded racchiude le prestazioni di Intel Atom in una larghezza di soli 55 mm.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A" w:type="default"/>
      <w:footerReference xmlns:r="http://schemas.openxmlformats.org/officeDocument/2006/relationships" r:id="N104B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A" Target="header1.xml" Type="http://schemas.openxmlformats.org/officeDocument/2006/relationships/header"/><Relationship Id="N104BE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1" Target="media/N1049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