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Auf Schiene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TÜV SÜD Rail zertifiziert B&amp;R-Steuerungstechnik für Schienenfahrzeuge</w:t>
      </w:r>
    </w:p>
    <w:p>
      <w:pPr>
        <w:pStyle w:val="par-first"/>
        <w:ind w:left="0"/>
        <w:jc w:val="left"/>
      </w:pPr>
      <w:r>
        <w:rPr>
          <w:i/>
          <w:i/>
        </w:rPr>
        <w:t xml:space="preserve">TÜV SÜD Rail hat das </w:t>
      </w:r>
      <w:r>
        <w:rPr>
          <w:i/>
          <w:i/>
        </w:rPr>
        <w:t>X90-System</w:t>
      </w:r>
      <w:r>
        <w:rPr>
          <w:i/>
          <w:i/>
        </w:rPr>
        <w:t xml:space="preserve"> von B&amp;R für Bahn- und Schienenanwendungen zertifiziert. Gemäß der Normen EN 50155, EN 50657 und EN 45545-2 kann das mobile Steuerungssystem nun für Anwendungen wie Licht- und Temperatursteuerung eingesetzt werden.</w:t>
      </w:r>
    </w:p>
    <w:p>
      <w:pPr>
        <w:pStyle w:val="par"/>
        <w:ind w:left="0"/>
      </w:pPr>
      <w:r>
        <w:rPr/>
        <w:t xml:space="preserve">Die X90-Produkte sind sehr widerstandsfähig gegenüber rauen Umwelteinflüssen und erfüllen hohe Anforderungen an elektromagnetische Verträglichkeit. Das bestätigt TÜV SÜD Rail. Zudem belegt die Zertifizierung die hohe Qualität der B&amp;R-Software und garantiert ein hohes Maß an Brandsicherheit.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Einsatz unter extremen Belastungen</w:t>
      </w:r>
    </w:p>
    <w:p>
      <w:pPr>
        <w:pStyle w:val="par"/>
        <w:ind w:left="0"/>
      </w:pPr>
      <w:r>
        <w:rPr/>
        <w:t xml:space="preserve">B&amp;R hat die Produkte der X90-Reihe konsequent für den Einsatz unter extrem rauen Bedingungen konstruiert. Die Geräte sind in der Schutzklasse IP69K ausgeführt. Sie können bei einer Gehäusetemperatur von -40 °C bis +85 °C eingesetzt werden und sind unempfindlich gegenüber Schock- und Vibrationsbelastungen.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X90 Zug öffentlicher Verkehr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Zug öffentlicher Verkehr train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Qualität überzeugt: TÜV SÜD Rail hat das Steuerungssystem X90 für Bahn- und Schienenanwendungen zertifiziert.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