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Nuovo appuntamento con gli eventi digitali targati #AutomationBreak</w:t>
      </w:r>
    </w:p>
    <w:p>
      <w:pPr>
        <w:pStyle w:val="label-first"/>
        <w:keepNext/>
        <w:ind w:left="0"/>
      </w:pPr>
      <w:r>
        <w:rPr>
          <w:b/>
          <w:sz w:val="20"/>
        </w:rPr>
        <w:t xml:space="preserve">‘Visione con un click’ è in programma il prossimo 12 maggio alle ore 11:30</w:t>
      </w:r>
    </w:p>
    <w:p>
      <w:pPr>
        <w:pStyle w:val="par-first"/>
        <w:ind w:left="0"/>
        <w:jc w:val="left"/>
      </w:pPr>
      <w:r>
        <w:rPr>
          <w:i/>
          <w:i/>
        </w:rPr>
        <w:t xml:space="preserve">Torna la serie di appuntamenti, con un format divertente e veloce, nata ispirandosi alla vita di tutti i giorni in ufficio, luogo di profonda collaborazione tra colleghi, in cui si risolvono dubbi e si condividono soluzioni.    </w:t>
      </w:r>
    </w:p>
    <w:p>
      <w:pPr>
        <w:pStyle w:val="par"/>
        <w:ind w:left="0"/>
      </w:pPr>
      <w:r>
        <w:rPr/>
        <w:t xml:space="preserve">Al centro di questo secondo episodio ci sono i sistemi di visione con i loro algoritmi di riconoscimento e in particolare il tool web based Vision HMI che permette una programmazione veloce ed efficace senza scrivere righe di codice. Inoltre, con qualche trick&amp;tips il tecnico darà dei suggerimenti al commerciale basandosi sull’esperienza di casi realmente analizzati.    </w:t>
      </w:r>
    </w:p>
    <w:p>
      <w:pPr>
        <w:pStyle w:val="par"/>
        <w:ind w:left="0"/>
      </w:pPr>
      <w:r>
        <w:rPr/>
        <w:t xml:space="preserve">Come per il precedente, anche questo episodio sarà lanciato durante un live della durata di 30 minuti, la prima parte sarà dedicata al momento in cui verrà mostrato lo “sketch” tra commerciale e tecnico per lasciare poi spazio alle domande dei partecipanti a cui si darà risposta dal vivo.    </w:t>
      </w:r>
    </w:p>
    <w:p>
      <w:pPr>
        <w:pStyle w:val="par"/>
        <w:ind w:left="0"/>
      </w:pPr>
      <w:r>
        <w:rPr/>
        <w:t xml:space="preserve">Successivamente, si potrà rivedere l’episodio on demand sul sito web e sul canale YouTube aziendale, in alternativa sarà possibile riascoltarlo attraverso una serie di podcast che verranno pubblicati su Spotify.  </w:t>
      </w:r>
    </w:p>
    <w:p>
      <w:pPr>
        <w:pStyle w:val="par"/>
        <w:ind w:left="0"/>
      </w:pPr>
      <w:r>
        <w:rPr/>
        <w:fldChar w:fldCharType="begin"/>
      </w:r>
      <w:r>
        <w:rPr/>
        <w:instrText xml:space="preserve">HYPERLINK "https://newsletter.br-automation.com/a.php?sid=g2mav.sd4a1q,f=7"</w:instrText>
      </w:r>
      <w:r>
        <w:fldChar w:fldCharType="separate"/>
      </w:r>
      <w:r>
        <w:rPr/>
        <w:t>Registrazione all'evento</w:t>
      </w:r>
      <w:r>
        <w:fldChar w:fldCharType="end"/>
      </w:r>
      <w:r>
        <w:rPr/>
        <w:t xml:space="preserve"> - 'Visione con un click' del 12 maggio alle ore 11:30</w:t>
      </w:r>
    </w:p>
    <w:p/>
    <w:bookmarkStart w:id="7" w:name="_XREFN100C2"/>
    <w:bookmarkStart w:id="8" w:name="_XREFN100C7"/>
    <w:p>
      <w:pPr>
        <w:keepNext/>
        <w:spacing w:after="20" w:before="0"/>
        <w:ind w:left="0"/>
      </w:pPr>
      <w:r>
        <w:drawing>
          <wp:inline xmlns:wp="http://schemas.openxmlformats.org/drawingml/2006/wordprocessingDrawing" distB="0" distL="0" distR="0" distT="0">
            <wp:extent cx="2587925" cy="2156604"/>
            <wp:effectExtent b="0" l="0" r="0" t="0"/>
            <wp:docPr id="1" name="Immagine vis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visione"/>
                    <pic:cNvPicPr/>
                  </pic:nvPicPr>
                  <pic:blipFill>
                    <a:blip xmlns:r="http://schemas.openxmlformats.org/officeDocument/2006/relationships" cstate="print" r:embed="N103AC"/>
                    <a:stretch>
                      <a:fillRect/>
                    </a:stretch>
                  </pic:blipFill>
                  <pic:spPr>
                    <a:xfrm>
                      <a:off x="0" y="0"/>
                      <a:ext cx="2587925" cy="2156604"/>
                    </a:xfrm>
                    <a:prstGeom prst="rect">
                      <a:avLst/>
                    </a:prstGeom>
                  </pic:spPr>
                </pic:pic>
              </a:graphicData>
            </a:graphic>
          </wp:inline>
        </w:drawing>
      </w:r>
    </w:p>
    <w:p>
      <w:pPr>
        <w:pStyle w:val="media-caption"/>
        <w:ind w:left="0"/>
      </w:pPr>
      <w:r>
        <w:t xml:space="preserve">Appuntamento al 12 maggio con il secondo episodio della nuova serie “Automation Break” di B&amp;R</w:t>
      </w:r>
    </w:p>
    <w:bookmarkEnd w:id="8"/>
    <w:bookmarkEnd w:id="7"/>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