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ACOPOS P3 odolává vlivům prostředí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Servopohon B&amp;R je nyní odolnější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Kompaktní servopohon B&amp;R je vhodný pro použití v agresivním atmosférickém prostředí a při teplotách až -25 °C. Elektronika servopohonu ACOPOS P3 je standardně chráněna před vnějšími vlivy speciální povrchovou úpravou, díky které je servopohon ještě odolnější.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Servopohon lze nyní používat v extrémních podmínkách, jako například takových, kterým čelí větrné turbíny. Možné jsou také aplikace v chladných místnostech nebo ve velmi prašném prostředí, například v textilním průmyslu. Není již tedy zapotřebí nakupovat další drahý speciální hardware, což vede ke snížení nákladů.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Komplexní testování</w:t>
      </w:r>
    </w:p>
    <w:p>
      <w:pPr>
        <w:pStyle w:val="par"/>
        <w:ind w:left="0"/>
      </w:pPr>
      <w:r>
        <w:rPr/>
        <w:t xml:space="preserve">Společnost B&amp;R provádí rozsáhlé environmentální testy, aby zajistila spolehlivý výkon svého hardwaru. Zkoušky se provádějí ve vlastní, plně akreditované zkušební laboratoři a v certifikovaných externích zkušebnách v souladu s mezinárodními normami a předpisy.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_3000 x 2000 px_robus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_3000 x 2000 px_robustness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Elektronika ACOPOS P3 je speciálně potažena pro použití v agresivních atmosférických podmínkách a při teplotách až -25 °C.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