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Tworzenie aplikacji typu "pick and place" w kilka minut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Robotics sprawia, że maszyny są szybsze, bardziej elastyczne i wydajniejsze</w:t>
      </w:r>
    </w:p>
    <w:p>
      <w:pPr>
        <w:pStyle w:val="par-first"/>
        <w:ind w:left="0"/>
        <w:jc w:val="left"/>
      </w:pPr>
      <w:r>
        <w:rPr>
          <w:i/>
          <w:i/>
        </w:rPr>
        <w:t xml:space="preserve">Gotowe oprogramowanie B&amp;R pomaga producentom OEM wdrażać aplikacje pick-and-place znacznie szybciej przy minimalnym ryzyku inwestycyjnym. Rozwiązanie procesowe Pick-and-Place firmy B&amp;R sprawia, że maszyny są szybsze, bardziej elastyczne i wydajniejsze.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Roboty wykonujące zadania pick-and-place otwierają przed inżynierami nowe stopnie swobody podczas projektowania procesów produkcyjnych. W szczególności maszyny zaprojektowane do produkcji małych ilości, aż do partii jednostkowych i dużej zmienności produktu, korzystają ze zautomatyzowanej obsługi, która jest zsynchronizowana z procesami z mikrosekundową precyzją.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Konfiguracja, a nie programowanie</w:t>
      </w:r>
    </w:p>
    <w:p>
      <w:pPr>
        <w:pStyle w:val="par"/>
        <w:ind w:left="0"/>
      </w:pPr>
      <w:r>
        <w:rPr/>
        <w:t xml:space="preserve">Do tworzenia takich aplikacji B&amp;R oferuje gotowe oprogramowanie dla robotów typu pick-and-place z zestawu narzędzi mapp Technology. Pozwala to na intuicyjną konfigurację aplikacji poprzez wybór gotowych bloków funkcyjnych. Są one połączone ze sobą w edytorze, podobnie jak w przypadku innych bloków funkcyjnych mapp, umożliwiając utworzenie wykonywalnej aplikacji robotycznej w ciągu kilku minut.     </w:t>
      </w:r>
    </w:p>
    <w:p>
      <w:pPr>
        <w:pStyle w:val="par"/>
        <w:ind w:left="0"/>
      </w:pPr>
      <w:r>
        <w:rPr/>
        <w:t xml:space="preserve">Dogłębna znajomość robotyki nie jest wymagana. Wystarczy kilka kliknięć, aby skonfigurować koordynację z innymi osiami ruchu, systemami śledzenia produktu, systemami wizyjnymi B&amp;R lub aplikacjami webowymi mapp View HMI. Eliminuje to znaczną część ręcznej pracy programistycznej i skraca czas programowania.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Maksymalna swoboda przy projektowaniu procesów</w:t>
      </w:r>
    </w:p>
    <w:p>
      <w:pPr>
        <w:pStyle w:val="par"/>
        <w:ind w:left="0"/>
      </w:pPr>
      <w:r>
        <w:rPr/>
        <w:t xml:space="preserve">Oprogramowanie mapp Pick-and-Place oferuje maksymalną swobodę podczas projektowania procesów. Można użyć dowolnej liczby robotów delta. Liczba przenośników taśmowych na wejściu i wyjściu jest również dowolnie konfigurowalna. Oprogramowanie automatycznie optymalizuje proces pod kątem maksymalnej szybkości kompletacji.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Pick n Place packaging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Pick n Place packaging line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mapp Pick-and-Place aplikacje można skonfigurować za pomocą zaledwie kilku kliknięć. (Image: B&amp;R)</w:t>
      </w:r>
    </w:p>
    <w:bookmarkEnd w:id="8"/>
    <w:bookmarkEnd w:id="7"/>
    <w:bookmarkStart w:id="9" w:name="_XREFN1003A"/>
    <w:bookmarkStart w:id="10" w:name="_XREFN1003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2" name="Create-robotics-applications-in-minute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ate-robotics-applications-in-minutes_01"/>
                    <pic:cNvPicPr/>
                  </pic:nvPicPr>
                  <pic:blipFill>
                    <a:blip xmlns:r="http://schemas.openxmlformats.org/officeDocument/2006/relationships" cstate="print" r:embed="N104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Komponenty mapp automatycznie wymieniają wszystkie potrzebne informacje. (Image: B&amp;R)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9A" w:type="default"/>
      <w:footerReference xmlns:r="http://schemas.openxmlformats.org/officeDocument/2006/relationships" r:id="N1052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A" Target="header1.xml" Type="http://schemas.openxmlformats.org/officeDocument/2006/relationships/header"/><Relationship Id="N1052E" Target="footer1.xml" Type="http://schemas.openxmlformats.org/officeDocument/2006/relationships/footer"/><Relationship Id="N103CB" Target="media/N103CB.jpg" Type="http://schemas.openxmlformats.org/officeDocument/2006/relationships/image"/><Relationship Id="N10419" Target="media/N1041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1" Target="media/N1050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