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Dakikalar içinde al ve yerleştir uygulaması oluşturun</w:t>
      </w:r>
    </w:p>
    <w:p>
      <w:pPr>
        <w:pStyle w:val="label-first"/>
        <w:keepNext/>
        <w:ind w:left="0"/>
      </w:pPr>
      <w:r>
        <w:rPr>
          <w:b/>
          <w:sz w:val="20"/>
        </w:rPr>
        <w:t xml:space="preserve">mapp Robotics, makineleri daha hızlı, daha esnek ve daha verimli hale getiriyor</w:t>
      </w:r>
    </w:p>
    <w:p>
      <w:pPr>
        <w:pStyle w:val="par-first"/>
        <w:ind w:left="0"/>
        <w:jc w:val="left"/>
      </w:pPr>
      <w:r>
        <w:rPr>
          <w:i/>
          <w:i/>
        </w:rPr>
        <w:t xml:space="preserve">Makine üreticileri, B&amp;R'ın hazır yazılım çözümüyle, herhangi bir büyük yatırım riski olmadan al ve yerleştir uygulamalarını hayata geçirebilir. mapp Robotics'in al ve yerleştir proses çözümü, makineleri daha hızlı, daha esnek ve daha verimli hale getirir.</w:t>
      </w:r>
    </w:p>
    <w:p>
      <w:pPr>
        <w:pStyle w:val="label"/>
        <w:keepNext/>
        <w:ind w:left="0"/>
      </w:pPr>
    </w:p>
    <w:p>
      <w:pPr>
        <w:pStyle w:val="par"/>
        <w:ind w:left="0"/>
      </w:pPr>
      <w:r>
        <w:rPr/>
        <w:t xml:space="preserve">Al ve yerleştir robotları, üretim süreçlerini tasarlarken tasarımcılara yeni özgürlükler sunuyor. Özellikle, tek adetli parti boyutlarına kadar olan küçük miktarların üretimi ve yüksek ürün çeşitliliği için tasarlanan makineler, mikrosaniye hassasiyetinde süreçlerle senkronize edilen otomatik işlemeden yararlanır.</w:t>
      </w:r>
    </w:p>
    <w:p>
      <w:pPr>
        <w:pStyle w:val="label"/>
        <w:keepNext/>
        <w:ind w:left="0"/>
      </w:pPr>
      <w:r>
        <w:rPr>
          <w:b/>
          <w:sz w:val="20"/>
        </w:rPr>
        <w:t xml:space="preserve">Programlama yerine yapılandırma</w:t>
      </w:r>
    </w:p>
    <w:p>
      <w:pPr>
        <w:pStyle w:val="par"/>
        <w:ind w:left="0"/>
      </w:pPr>
      <w:r>
        <w:rPr/>
        <w:t xml:space="preserve">Avusturyalı otomasyon uzmanı B&amp;R, bu tür uygulamaların oluşturulması için, mapp Technology modüler yazılım sisteminden al ve yerleştir robotlarına yönelik hazır bir yazılım çözümü sunuyor. Bu, uygulamaların hazır fonksiyon blokları seçilerek sezgisel olarak yapılandırılmasına olanak tanır. Diğer mapp uygulamalarından da bilindiği gibi bunlar editörde birbirine bağlanır ve böylece birkaç dakika içinde çalıştırılabilir bir robotik uygulama oluşturulur.     </w:t>
      </w:r>
    </w:p>
    <w:p>
      <w:pPr>
        <w:pStyle w:val="par"/>
        <w:ind w:left="0"/>
      </w:pPr>
      <w:r>
        <w:rPr/>
        <w:t xml:space="preserve">Derinlemesine robotik bilgi birikimi gerekli değildir. Diğer eksenler, track sistemleri, B&amp;R görüntüleme sistemi veya web tabanlı görselleştirme mapp View ile koordinasyon yalnızca birkaç tıklamayla kurulabilir. Bu, manuel programlama işinin büyük bir bölümünü ortadan kaldırır. Geliştirme süresi kısalır.  </w:t>
      </w:r>
    </w:p>
    <w:p>
      <w:pPr>
        <w:pStyle w:val="label"/>
        <w:keepNext/>
        <w:ind w:left="0"/>
      </w:pPr>
      <w:r>
        <w:rPr>
          <w:b/>
          <w:sz w:val="20"/>
        </w:rPr>
        <w:t xml:space="preserve">Proses tasarımında maksimum özgürlük</w:t>
      </w:r>
    </w:p>
    <w:p>
      <w:pPr>
        <w:pStyle w:val="par"/>
        <w:ind w:left="0"/>
      </w:pPr>
      <w:r>
        <w:rPr/>
        <w:t xml:space="preserve">Al ve yerleştir için mapp yazılım çözümü, süreç tasarımında maksimum özgürlük sunar. Herhangi bir sayıda delta robotu kullanılabilir. Giriş ve çıkış için konveyör bantlarının sayısı da serbestçe yapılandırılabilir. Öne çıkan bir diğer özellik olarak yazılım, maksimum toplama oranı için süreci otomatik şekilde optimize eder.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mapp Pick &amp; Place ile al ve yerleştir uygulamaları yalnızca birkaç fare tıklamasıyla yapılandırılabilir. (Fotoğraf: B&amp;R)</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mapp bileşenleri gerekli tüm bilgileri otomatik olarak birbirleriyle paylaşır. (Fotoğraf: B&amp;R)</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