
<file path=[Content_Types].xml><?xml version="1.0" encoding="utf-8"?>
<Types xmlns="http://schemas.openxmlformats.org/package/2006/content-types">
  <Default ContentType="application/vnd.openxmlformats-package.relationships+xml" Extension="rels"/>
  <Default ContentType="application/xml" Extension="xml"/>
  <Default ContentType="image/jpeg" Extension="jpg"/>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extended-properties+xml" PartName="/docProps/app.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webSettings+xml" PartName="/word/webSettings.xml"/>
</Types>
</file>

<file path=_rels/.rels><?xml version="1.0" encoding="UTF-8"?><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s>
</file>

<file path=word/document.xml><?xml version="1.0" encoding="utf-8"?>
<w:document xmlns:w="http://schemas.openxmlformats.org/wordprocessingml/2006/main">
  <w:body>
    <w:p>
      <w:pPr>
        <w:pStyle w:val="headline-content-0"/>
        <w:keepNext/>
      </w:pPr>
      <w:r>
        <w:rPr>
          <w:rStyle w:val="headline-content-run0"/>
          <w:b/>
          <w:sz w:val="24"/>
        </w:rPr>
        <w:t xml:space="preserve">TÜV Rheinland、B&amp;Rの「CRA Guide for POWERLINK」を認証</w:t>
      </w:r>
    </w:p>
    <w:p>
      <w:pPr>
        <w:pStyle w:val="label-first"/>
        <w:keepNext/>
        <w:ind w:left="0"/>
      </w:pPr>
      <w:r>
        <w:rPr>
          <w:b/>
          <w:sz w:val="20"/>
        </w:rPr>
        <w:t xml:space="preserve">OEMおよびシステムインテグレーター向けの検証済み実装ガイドライン</w:t>
      </w:r>
    </w:p>
    <w:p>
      <w:pPr>
        <w:pStyle w:val="par-first"/>
        <w:ind w:left="0"/>
        <w:jc w:val="left"/>
      </w:pPr>
      <w:r>
        <w:rPr>
          <w:i/>
          <w:i/>
        </w:rPr>
        <w:t xml:space="preserve">EUサイバーレジリエンス法（Cyber Resilience Act：CRA）により、2027年末以降、コネクテッド製品には新たなセキュリティ要件への対応が求められます。B&amp;Rは、お客様の対応を支援する包括的なガイドライン「B&amp;R CRA Guide for POWERLINK」を提供しています。このガイドラインでは、POWERLINKベースのシステムを安全に運用するための考え方や要件を分かりやすく示しています。本ガイドラインはTÜV Rheinlandによるレビューを受けており、オートメーション業界において、サイバーレジリエンス法の要件に対応した技術文書として、第三者機関による監査を受けた先進的な取り組みの一つとなっています。</w:t>
      </w:r>
    </w:p>
    <w:p>
      <w:pPr>
        <w:pStyle w:val="par"/>
        <w:ind w:left="0"/>
      </w:pPr>
      <w:r>
        <w:rPr/>
        <w:t xml:space="preserve">OEMおよびシステムインテグレーターは、実践的ですぐに活用できるリソースにより、導入にかかる作業負荷を大幅に削減できます。B&amp;Rのガイドでは、具体的な対応推奨事項やその根拠に加え、POWERLINKを安全かつCRAに準拠した形で統合するためのセキュリティおよびアーキテクチャの考え方を提供しています。</w:t>
      </w:r>
    </w:p>
    <w:p>
      <w:pPr>
        <w:pStyle w:val="par"/>
        <w:ind w:left="0"/>
      </w:pPr>
      <w:r>
        <w:rPr/>
        <w:t xml:space="preserve">「サイバーセキュリティにおいて、透明性は私たちにとって最も重要な要素です。単にCRAへの準拠を表明するだけでは十分ではありません。システムインテグレーターには、具体的な対応ロードマップが必要です。今回のCRAガイドの公開を通じて、私たちはオートメーション業界全体におけるサイバーセキュリティの向上を積極的に推進していきます。お客様にとって信頼できる強力なパートナーであり続けるとともに、欧州市場全体におけるサイバーセキュリティの持続的な強化に貢献していくことを目指しています」と、ABB Machine Automation事業部（B&amp;R）のCTOであるStefan Schöneggerは述べています。</w:t>
      </w:r>
    </w:p>
    <w:p>
      <w:pPr>
        <w:pStyle w:val="label"/>
        <w:keepNext/>
        <w:ind w:left="0"/>
      </w:pPr>
      <w:r>
        <w:rPr>
          <w:b/>
          <w:sz w:val="20"/>
        </w:rPr>
        <w:t xml:space="preserve">IEC 62443に準拠した製品・ソフトウェア開発</w:t>
      </w:r>
    </w:p>
    <w:p>
      <w:pPr>
        <w:pStyle w:val="par"/>
        <w:ind w:left="0"/>
      </w:pPr>
      <w:r>
        <w:rPr/>
        <w:t xml:space="preserve">CRAガイドは、B&amp;Rが長年培ってきたサイバーセキュリティに関する豊富な知見に基づいています。B&amp;Rの製品開発プロセス全体は、IEC 62443-4-1に準拠した認証を取得しています。特にソフトウェア開発においては、オートメーションのスペシャリストであるB&amp;Rは、すでにマチュリティレベル3を達成しています。これは、B&amp;Rが製品開発のあらゆる段階（仕様策定、設計、実装、テスト、保守）において、サイバーセキュリティの考慮を組み込んでいることを示しています。 </w:t>
      </w:r>
    </w:p>
    <w:p>
      <w:pPr>
        <w:pStyle w:val="label"/>
        <w:keepNext/>
        <w:ind w:left="0"/>
      </w:pPr>
      <w:r>
        <w:rPr>
          <w:b/>
          <w:sz w:val="20"/>
        </w:rPr>
        <w:t xml:space="preserve">CRA要件への実践的な対応ガイド</w:t>
      </w:r>
    </w:p>
    <w:p>
      <w:pPr>
        <w:pStyle w:val="par"/>
        <w:ind w:left="0"/>
      </w:pPr>
      <w:r>
        <w:rPr/>
        <w:t xml:space="preserve">CRAガイドは、B&amp;Rが長年培ってきたサイバーセキュリティに関する豊富な知見に基づいています。B&amp;Rの製品開発プロセス全体は、IEC 62443-4-1に準拠した認証を取得しています。特にソフトウェア開発においては、オートメーションのスペシャリストであるB&amp;Rは、すでにマチュリティレベル3を達成しています。これは、B&amp;Rが製品開発のあらゆる段階（仕様策定、設計、実装、テスト、保守）において、サイバーセキュリティの考慮を組み込んでいることを示しています。</w:t>
      </w:r>
    </w:p>
    <w:p>
      <w:pPr>
        <w:pStyle w:val="par"/>
        <w:ind w:left="0"/>
      </w:pPr>
      <w:r>
        <w:rPr/>
        <w:t xml:space="preserve">「B&amp;R CRA Guide for POWERLINK」は、B&amp;RのWebサイトから無料でダウンロードいただけます。</w:t>
      </w:r>
    </w:p>
    <w:p>
      <w:pPr>
        <w:pStyle w:val="par"/>
        <w:ind w:left="0"/>
      </w:pPr>
      <w:r>
        <w:rPr/>
        <w:fldChar w:fldCharType="begin"/>
      </w:r>
      <w:r>
        <w:rPr/>
        <w:instrText xml:space="preserve">HYPERLINK "https://smc.br-automation.com/image?uri=/Marketing/Texts/BnR/Press releases/2026/Pressemitteilungen - Links/BR_CRA-Guide-2026.theme&amp;versionLabel=1.0&amp;itemName=original&amp;extension=pdf&amp;serverID=JACKRABBIT&amp;language=en&amp;objType=file"</w:instrText>
      </w:r>
      <w:r>
        <w:fldChar w:fldCharType="separate"/>
      </w:r>
      <w:r>
        <w:rPr/>
        <w:t>B&amp;R CRA Guide for POWERLINKをダウンロード</w:t>
      </w:r>
      <w:r>
        <w:fldChar w:fldCharType="end"/>
      </w:r>
    </w:p>
    <w:p>
      <w:pPr/>
    </w:p>
    <w:bookmarkStart w:id="9" w:name="_XREFN100C2"/>
    <w:bookmarkStart w:id="10" w:name="_XREFN100C7"/>
    <w:p>
      <w:pPr>
        <w:keepNext/>
        <w:spacing w:after="20" w:before="0"/>
        <w:ind w:left="0"/>
      </w:pPr>
      <w:r>
        <w:drawing>
          <wp:inline xmlns:wp="http://schemas.openxmlformats.org/drawingml/2006/wordprocessingDrawing" distB="0" distL="0" distR="0" distT="0">
            <wp:extent cx="3600000" cy="2400750"/>
            <wp:effectExtent b="0" l="0" r="0" t="0"/>
            <wp:docPr id="1" name="BR-cra-guide-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cra-guide-2026"/>
                    <pic:cNvPicPr/>
                  </pic:nvPicPr>
                  <pic:blipFill>
                    <a:blip xmlns:r="http://schemas.openxmlformats.org/officeDocument/2006/relationships" cstate="print" r:embed="N103F0"/>
                    <a:stretch>
                      <a:fillRect/>
                    </a:stretch>
                  </pic:blipFill>
                  <pic:spPr>
                    <a:xfrm>
                      <a:off x="0" y="0"/>
                      <a:ext cx="3600000" cy="2400750"/>
                    </a:xfrm>
                    <a:prstGeom prst="rect">
                      <a:avLst/>
                    </a:prstGeom>
                  </pic:spPr>
                </pic:pic>
              </a:graphicData>
            </a:graphic>
          </wp:inline>
        </w:drawing>
      </w:r>
    </w:p>
    <w:p>
      <w:pPr>
        <w:pStyle w:val="media-caption"/>
        <w:ind w:left="0"/>
      </w:pPr>
      <w:r>
        <w:t xml:space="preserve">TÜV Rheinland、B&amp;Rの「CRA Guide for POWERLINK」を認証</w:t>
      </w:r>
    </w:p>
    <w:bookmarkEnd w:id="10"/>
    <w:bookmarkEnd w:id="9"/>
    <w:p>
      <w:pPr/>
    </w:p>
    <w:p>
      <w:pPr/>
    </w:p>
    <w:p>
      <w:pPr/>
    </w:p>
    <w:p>
      <w:pPr>
        <w:pStyle w:val="headline-content-1"/>
        <w:keepNext/>
      </w:pPr>
      <w:r>
        <w:rPr>
          <w:rStyle w:val="headline-content-run1"/>
          <w:sz w:val="16"/>
        </w:rPr>
        <w:t xml:space="preserve">About Machine Automation, ABB</w:t>
      </w:r>
    </w:p>
    <w:p>
      <w:pPr>
        <w:pStyle w:val="par"/>
        <w:ind w:left="0"/>
      </w:pPr>
      <w:r>
        <w:rPr>
          <w:sz w:val="16"/>
        </w:rPr>
        <w:t xml:space="preserve">ABB’s Machine Automation division delivers automation solutions and services for machine and factory applications across industries such as consumer packaged goods, printing, life sciences, plastics, energy and maritime. With its B&amp;R’s product portfolio, the division delivers integrated control and software, motion control, mechatronics, and machine automation technologies designed to simplify processes and optimize factory operations.</w:t>
      </w:r>
    </w:p>
    <w:sectPr>
      <w:headerReference xmlns:r="http://schemas.openxmlformats.org/officeDocument/2006/relationships" r:id="N10466" w:type="default"/>
      <w:footerReference xmlns:r="http://schemas.openxmlformats.org/officeDocument/2006/relationships" r:id="N104FD" w:type="default"/>
      <w:type w:val="continuous"/>
      <w:pgSz w:code="9" w:h="16839" w:w="11907"/>
      <w:pgMar w:bottom="1984" w:footer="567" w:header="567" w:left="1134" w:right="1134" w:top="2268"/>
    </w:sectPr>
  </w:body>
</w:document>
</file>

<file path=word/footer1.xml><?xml version="1.0" encoding="utf-8"?>
<w:ftr xmlns:w="http://schemas.openxmlformats.org/wordprocessingml/2006/main">
  <w:tbl>
    <w:tblPr>
      <w:tblW w:type="dxa" w:w="9638"/>
      <w:tblInd w:type="dxa" w:w="0"/>
      <w:tblLayout w:type="fixed"/>
    </w:tblPr>
    <w:tblGrid>
      <w:gridCol w:w="4819"/>
      <w:gridCol w:w="4819"/>
    </w:tblGrid>
    <w:tr>
      <w:trPr>
        <w:trHeight w:hRule="exact" w:val="1417"/>
      </w:trPr>
      <w:tc>
        <w:tcPr>
          <w:tcW w:type="dxa" w:w="4819"/>
          <w:tcMar>
            <w:top w:type="dxa" w:w="226"/>
            <w:left w:type="dxa" w:w="0"/>
            <w:right w:type="dxa" w:w="0"/>
          </w:tcMar>
          <w:vAlign w:val="top"/>
        </w:tcPr>
        <w:p>
          <w:pPr>
            <w:pStyle w:val="footer"/>
            <w:ind w:left="0"/>
            <w:jc w:val="left"/>
          </w:pPr>
          <w:r>
            <w:rPr>
              <w:sz w:val="14"/>
            </w:rPr>
            <w:t>プレスコンタクト</w:t>
          </w:r>
          <w:r>
            <w:rPr>
              <w:sz w:val="14"/>
            </w:rPr>
            <w:t xml:space="preserve">:</w:t>
          </w:r>
          <w:r>
            <w:br w:type="textWrapping"/>
          </w:r>
          <w:r>
            <w:br w:type="textWrapping"/>
          </w:r>
          <w:r>
            <w:br w:type="textWrapping"/>
          </w:r>
          <w:r>
            <w:rPr>
              <w:sz w:val="14"/>
            </w:rPr>
            <w:t xml:space="preserve">press.br@abb.com</w:t>
          </w:r>
          <w:r>
            <w:br w:type="textWrapping"/>
          </w:r>
          <w:r>
            <w:br w:type="textWrapping"/>
          </w:r>
        </w:p>
      </w:tc>
      <w:tc>
        <w:tcPr>
          <w:tcW w:type="dxa" w:w="4819"/>
          <w:tcMar>
            <w:top w:type="dxa" w:w="226"/>
            <w:left w:type="dxa" w:w="0"/>
            <w:right w:type="dxa" w:w="0"/>
          </w:tcMar>
          <w:vAlign w:val="top"/>
        </w:tcPr>
        <w:p>
          <w:pPr>
            <w:pStyle w:val="footer"/>
            <w:spacing w:after="0"/>
            <w:ind w:left="0"/>
            <w:jc w:val="right"/>
          </w:pPr>
          <w:r>
            <w:br w:type="textWrapping"/>
          </w:r>
          <w:r>
            <w:rPr>
              <w:sz w:val="14"/>
            </w:rPr>
            <w:t>ページ</w:t>
          </w:r>
          <w:r>
            <w:rPr>
              <w:rFonts w:ascii="Arial" w:hAnsi="Arial"/>
            </w:rPr>
            <w:t> </w:t>
          </w:r>
          <w:r>
            <w:rPr>
              <w:b/>
              <w:sz w:val="14"/>
            </w:rPr>
            <w:fldChar w:fldCharType="begin"/>
            <w:instrText xml:space="preserve"> PAGE \* Arabic </w:instrText>
            <w:fldChar w:fldCharType="end"/>
          </w:r>
          <w:r>
            <w:rPr>
              <w:b/>
              <w:sz w:val="14"/>
            </w:rPr>
            <w:t xml:space="preserve">/</w:t>
          </w:r>
          <w:r>
            <w:rPr>
              <w:b/>
              <w:sz w:val="14"/>
            </w:rPr>
            <w:fldChar w:fldCharType="begin"/>
            <w:instrText xml:space="preserve"> NUMPAGES   \* MERGEFORMAT </w:instrText>
            <w:fldChar w:fldCharType="end"/>
          </w:r>
        </w:p>
      </w:tc>
    </w:tr>
  </w:tbl>
</w:ftr>
</file>

<file path=word/footnotes.xml><?xml version="1.0" encoding="utf-8"?>
<w:footnotes xmlns:w="http://schemas.openxmlformats.org/wordprocessingml/2006/main"/>
</file>

<file path=word/header1.xml><?xml version="1.0" encoding="utf-8"?>
<w:hdr xmlns:w="http://schemas.openxmlformats.org/wordprocessingml/2006/main">
  <w:tbl>
    <w:tblPr>
      <w:tblW w:type="dxa" w:w="9638"/>
      <w:tblInd w:type="dxa" w:w="0"/>
      <w:tblLayout w:type="fixed"/>
    </w:tblPr>
    <w:tblGrid>
      <w:gridCol w:w="5783"/>
      <w:gridCol w:w="3855"/>
    </w:tblGrid>
    <w:tr>
      <w:trPr/>
      <w:tc>
        <w:tcPr>
          <w:tcW w:type="dxa" w:w="5783"/>
          <w:shd w:fill="FFFFFF" w:val="clear"/>
          <w:tcMar>
            <w:top w:type="dxa" w:w="226"/>
            <w:left w:type="dxa" w:w="0"/>
            <w:bottom w:type="dxa" w:w="226"/>
            <w:right w:type="dxa" w:w="0"/>
          </w:tcMar>
          <w:vAlign w:val="bottom"/>
        </w:tcPr>
        <w:p>
          <w:pPr>
            <w:pStyle w:val="header"/>
            <w:spacing w:after="0"/>
            <w:ind w:left="0"/>
            <w:jc w:val="left"/>
          </w:pPr>
          <w:r>
            <w:rPr>
              <w:b/>
              <w:color w:val="000000"/>
              <w:sz w:val="32"/>
            </w:rPr>
            <w:t>プレスリリース</w:t>
          </w:r>
        </w:p>
      </w:tc>
      <w:tc>
        <w:tcPr>
          <w:tcW w:type="dxa" w:w="3855"/>
          <w:shd w:fill="FFFFFF" w:val="clear"/>
          <w:tcMar>
            <w:top w:type="dxa" w:w="226"/>
            <w:left w:type="dxa" w:w="0"/>
            <w:bottom w:type="dxa" w:w="226"/>
            <w:right w:type="dxa" w:w="0"/>
          </w:tcMar>
          <w:vAlign w:val="bottom"/>
        </w:tcPr>
        <w:p>
          <w:pPr>
            <w:pStyle w:val="header-logo"/>
            <w:spacing w:after="0"/>
            <w:ind w:left="0"/>
            <w:jc w:val="right"/>
          </w:pPr>
          <w:r>
            <w:drawing>
              <wp:inline xmlns:wp="http://schemas.openxmlformats.org/drawingml/2006/wordprocessingDrawing" distB="0" distL="0" distR="0" distT="0">
                <wp:extent cx="1505712" cy="518160"/>
                <wp:effectExtent b="0" l="0" r="0" t="0"/>
                <wp:docPr id="2" name="logo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2022"/>
                        <pic:cNvPicPr/>
                      </pic:nvPicPr>
                      <pic:blipFill>
                        <a:blip xmlns:r="http://schemas.openxmlformats.org/officeDocument/2006/relationships" cstate="print" r:embed="N104CE"/>
                        <a:stretch>
                          <a:fillRect/>
                        </a:stretch>
                      </pic:blipFill>
                      <pic:spPr>
                        <a:xfrm>
                          <a:off x="0" y="0"/>
                          <a:ext cx="1505712" cy="518160"/>
                        </a:xfrm>
                        <a:prstGeom prst="rect">
                          <a:avLst/>
                        </a:prstGeom>
                      </pic:spPr>
                    </pic:pic>
                  </a:graphicData>
                </a:graphic>
              </wp:inline>
            </w:drawing>
          </w:r>
        </w:p>
      </w:tc>
    </w:tr>
  </w:tbl>
</w:hdr>
</file>

<file path=word/numbering.xml><?xml version="1.0" encoding="utf-8"?>
<w:numbering xmlns:w="http://schemas.openxmlformats.org/wordprocessingml/2006/main">
  <w:abstractNum w:abstractNumId="2">
    <w:nsid w:val="0E6454FE"/>
    <w:multiLevelType w:val="multilevel"/>
    <w:tmpl w:val="D386552E"/>
    <w:lvl w:ilvl="0">
      <w:start w:val="1"/>
      <w:pStyle w:val="headline-content-1"/>
      <w:suff w:val="tab"/>
      <w:lvlText w:val="%1"/>
      <w:lvlJc w:val="left"/>
      <w:pPr>
        <w:tabs>
          <w:tab w:pos="1417.5" w:val="num"/>
        </w:tabs>
        <w:ind w:hanging="1417.5" w:left="1417.5"/>
      </w:pPr>
    </w:lvl>
    <w:lvl w:ilvl="1">
      <w:start w:val="1"/>
      <w:suff w:val="tab"/>
      <w:lvlText w:val="%1.%2"/>
      <w:lvlJc w:val="left"/>
      <w:pPr>
        <w:tabs>
          <w:tab w:pos="1417.5" w:val="num"/>
        </w:tabs>
        <w:ind w:hanging="1417.5" w:left="1417.5"/>
      </w:pPr>
    </w:lvl>
    <w:lvl w:ilvl="2">
      <w:start w:val="1"/>
      <w:suff w:val="tab"/>
      <w:lvlText w:val="%1.%2.%3"/>
      <w:lvlJc w:val="left"/>
      <w:pPr>
        <w:tabs>
          <w:tab w:pos="1417.5" w:val="num"/>
        </w:tabs>
        <w:ind w:hanging="1417.5" w:left="1417.5"/>
      </w:pPr>
    </w:lvl>
    <w:lvl w:ilvl="3">
      <w:start w:val="1"/>
      <w:suff w:val="tab"/>
      <w:lvlText w:val="%1.%2.%3.%4"/>
      <w:lvlJc w:val="left"/>
      <w:pPr>
        <w:tabs>
          <w:tab w:pos="1417.5" w:val="num"/>
        </w:tabs>
        <w:ind w:hanging="1417.5" w:left="1417.5"/>
      </w:pPr>
    </w:lvl>
    <w:lvl w:ilvl="4">
      <w:start w:val="1"/>
      <w:suff w:val="tab"/>
      <w:lvlText w:val="%1.%2.%3.%4.%5"/>
      <w:lvlJc w:val="left"/>
      <w:pPr>
        <w:tabs>
          <w:tab w:pos="1417.5" w:val="num"/>
        </w:tabs>
        <w:ind w:hanging="1417.5" w:left="1417.5"/>
      </w:pPr>
    </w:lvl>
    <w:lvl w:ilvl="5">
      <w:start w:val="1"/>
      <w:suff w:val="tab"/>
      <w:lvlText w:val="%1.%2.%3.%4.%5.%6"/>
      <w:lvlJc w:val="left"/>
      <w:pPr>
        <w:tabs>
          <w:tab w:pos="1417.5" w:val="num"/>
        </w:tabs>
        <w:ind w:hanging="1417.5" w:left="1417.5"/>
      </w:pPr>
    </w:lvl>
    <w:lvl w:ilvl="6">
      <w:start w:val="1"/>
      <w:suff w:val="tab"/>
      <w:lvlText w:val="%1.%2.%3.%4.%5.%6.%7"/>
      <w:lvlJc w:val="left"/>
      <w:pPr>
        <w:tabs>
          <w:tab w:pos="1417.5" w:val="num"/>
        </w:tabs>
        <w:ind w:hanging="1417.5" w:left="1417.5"/>
      </w:pPr>
    </w:lvl>
    <w:lvl w:ilvl="7">
      <w:start w:val="1"/>
      <w:suff w:val="tab"/>
      <w:lvlText w:val="%1.%2.%3.%4.%5.%6.%7.%8"/>
      <w:lvlJc w:val="left"/>
      <w:pPr>
        <w:tabs>
          <w:tab w:pos="1417.5" w:val="num"/>
        </w:tabs>
        <w:ind w:hanging="1417.5" w:left="1417.5"/>
      </w:pPr>
    </w:lvl>
  </w:abstractNum>
  <w:abstractNum w:abstractNumId="6">
    <w:multiLevelType w:val="hybridMultilevel"/>
    <w:lvl w:ilvl="0" w:tplc="CB7E2DBC">
      <w:start w:val="1"/>
      <w:numFmt w:val="bullet"/>
      <w:lvlText w:val="►"/>
      <w:lvlJc w:val="left"/>
      <w:pPr>
        <w:ind w:hanging="360" w:left="720"/>
      </w:pPr>
      <w:rPr>
        <w:rFonts w:ascii="Arial" w:eastAsia="AR PL KaitiM Big5" w:hAnsi="Arial" w:hint="default"/>
        <w:color w:val="97AA61"/>
        <w:sz w:val="16"/>
      </w:rPr>
    </w:lvl>
  </w:abstractNum>
  <w:num w:numId="3">
    <w:abstractNumId w:val="2"/>
  </w:num>
  <w:num w:numId="7">
    <w:abstractNumId w:val="6"/>
  </w:num>
  <w:numIdMacAtCleanup w:val="12"/>
</w:numbering>
</file>

<file path=word/settings.xml><?xml version="1.0" encoding="utf-8"?>
<w:settings xmlns:w="http://schemas.openxmlformats.org/wordprocessingml/2006/main">
  <w:view w:val="print"/>
  <w:zoom w:percent="100"/>
  <w:embedSystemFonts w:val="off"/>
  <w:defaultTabStop w:val="708"/>
  <w:autoHyphenation/>
  <w:hyphenationZone w:val="425"/>
  <w:noPunctuationKerning w:val="on"/>
  <w:characterSpacingControl w:val="doNotCompress"/>
  <w:ignoreMixedContent w:val="off"/>
  <w:alwaysShowPlaceholderText w:val="off"/>
  <w:compat>
    <w:suppressTopSpacing w:val="on"/>
    <w:suppressSpBfAfterPgBrk w:val="on"/>
    <w:doNotBreakWrappedTables w:val="off"/>
    <w:doNotSnapToGridInCell w:val="off"/>
    <w:doNotWrapTextWithPunct w:val="off"/>
    <w:doNotUseEastAsianBreakRules w:val="off"/>
    <w:growAutofit w:val="off"/>
  </w:compat>
</w:settings>
</file>

<file path=word/styles.xml><?xml version="1.0" encoding="utf-8"?>
<w:styles xmlns:w="http://schemas.openxmlformats.org/wordprocessingml/2006/main">
  <w:docDefaults>
    <w:rPrDefault>
      <w:rPr/>
    </w:rPrDefault>
    <w:pPrDefault>
      <w:pPr/>
    </w:pPrDefault>
  </w:docDefaults>
  <w:style w:default="on" w:styleId="default" w:type="paragraph">
    <w:name w:val="default"/>
    <w:pPr>
      <w:jc w:val="left"/>
    </w:pPr>
    <w:rPr>
      <w:rFonts w:ascii="Arial" w:hAnsi="Arial"/>
      <w:sz w:val="20"/>
    </w:rPr>
  </w:style>
  <w:style w:styleId="container-block" w:type="paragraph">
    <w:name w:val="container-block"/>
    <w:basedOn w:val="default"/>
    <w:pPr>
      <w:spacing w:after="200"/>
      <w:jc w:val="left"/>
    </w:pPr>
  </w:style>
  <w:style w:styleId="header" w:type="paragraph">
    <w:name w:val="header"/>
    <w:basedOn w:val="default"/>
    <w:pPr>
      <w:shd w:fill="FFFFFF" w:val="clear"/>
      <w:jc w:val="left"/>
    </w:pPr>
    <w:rPr>
      <w:b/>
      <w:color w:val="000000"/>
      <w:sz w:val="32"/>
    </w:rPr>
  </w:style>
  <w:style w:styleId="header-logo" w:type="paragraph">
    <w:name w:val="header-logo"/>
    <w:basedOn w:val="default"/>
    <w:pPr>
      <w:shd w:fill="FFFFFF" w:val="clear"/>
    </w:pPr>
    <w:rPr>
      <w:b/>
      <w:caps/>
      <w:color w:val="FFFFFF"/>
      <w:sz w:val="32"/>
    </w:rPr>
  </w:style>
  <w:style w:styleId="table-cell" w:type="paragraph">
    <w:name w:val="table-cell"/>
    <w:basedOn w:val="default"/>
    <w:pPr/>
  </w:style>
  <w:style w:styleId="footer" w:type="paragraph">
    <w:name w:val="footer"/>
    <w:basedOn w:val="default"/>
    <w:pPr>
      <w:jc w:val="left"/>
    </w:pPr>
    <w:rPr>
      <w:sz w:val="14"/>
    </w:rPr>
  </w:style>
  <w:style w:styleId="headline-content" w:type="paragraph">
    <w:name w:val="headline-content"/>
    <w:basedOn w:val="default"/>
    <w:pPr>
      <w:keepNext/>
      <w:spacing w:after="260" w:before="240"/>
      <w:jc w:val="left"/>
    </w:pPr>
    <w:rPr>
      <w:sz w:val="24"/>
    </w:rPr>
  </w:style>
  <w:style w:styleId="headline-content-0" w:type="paragraph">
    <w:name w:val="headline-content-0"/>
    <w:basedOn w:val="headline-content"/>
    <w:next w:val="par"/>
    <w:pPr>
      <w:keepNext/>
      <w:spacing w:after="0" w:before="240"/>
      <w:jc w:val="left"/>
    </w:pPr>
    <w:rPr>
      <w:b/>
    </w:rPr>
  </w:style>
  <w:style w:styleId="headline-content-0-hidden" w:type="paragraph">
    <w:basedOn w:val="headline-content-0"/>
  </w:style>
  <w:style w:styleId="headline-content-1" w:type="paragraph">
    <w:name w:val="headline-content-1"/>
    <w:basedOn w:val="headline-content"/>
    <w:next w:val="par"/>
    <w:pPr>
      <w:spacing w:after="0"/>
      <w:jc w:val="left"/>
      <w:outlineLvl w:val="0"/>
    </w:pPr>
    <w:rPr>
      <w:sz w:val="16"/>
    </w:rPr>
  </w:style>
  <w:style w:styleId="headline-content-1-hidden" w:type="paragraph">
    <w:basedOn w:val="headline-content-1"/>
  </w:style>
  <w:style w:styleId="label-first" w:type="paragraph">
    <w:name w:val="label-first"/>
    <w:basedOn w:val="default"/>
    <w:pPr>
      <w:spacing w:after="200"/>
    </w:pPr>
    <w:rPr>
      <w:b/>
      <w:sz w:val="20"/>
    </w:rPr>
  </w:style>
  <w:style w:styleId="label" w:type="paragraph">
    <w:name w:val="label"/>
    <w:basedOn w:val="default"/>
    <w:pPr>
      <w:suppressAutoHyphens w:val="on"/>
      <w:spacing w:before="200"/>
      <w:jc w:val="left"/>
    </w:pPr>
    <w:rPr>
      <w:b/>
      <w:sz w:val="20"/>
    </w:rPr>
  </w:style>
  <w:style w:styleId="par" w:type="paragraph">
    <w:name w:val="par"/>
    <w:basedOn w:val="default"/>
    <w:pPr>
      <w:suppressAutoHyphens w:val="on"/>
      <w:spacing w:after="200"/>
      <w:jc w:val="left"/>
    </w:pPr>
    <w:rPr/>
  </w:style>
  <w:style w:styleId="par-first" w:type="paragraph">
    <w:name w:val="par-first"/>
    <w:basedOn w:val="default"/>
    <w:pPr>
      <w:suppressAutoHyphens w:val="on"/>
      <w:spacing w:after="200"/>
      <w:jc w:val="left"/>
    </w:pPr>
    <w:rPr>
      <w:i/>
    </w:rPr>
  </w:style>
  <w:style w:styleId="media" w:type="paragraph">
    <w:name w:val="media"/>
    <w:basedOn w:val="default"/>
    <w:pPr>
      <w:ind w:right="3969"/>
    </w:pPr>
  </w:style>
  <w:style w:styleId="media-caption" w:type="paragraph">
    <w:name w:val="media-caption"/>
    <w:basedOn w:val="default"/>
    <w:pPr>
      <w:spacing w:before="120"/>
    </w:pPr>
    <w:rPr>
      <w:sz w:val="18"/>
    </w:rPr>
  </w:style>
  <w:style w:styleId="PageMargins" w:type="paragraph">
    <w:name w:val="PageMargins"/>
    <w:basedOn w:val="default"/>
    <w:pPr/>
  </w:style>
  <w:style w:styleId="Heading0" w:type="paragraph">
    <w:name w:val="Heading 0"/>
    <w:basedOn w:val="headline-content-0"/>
  </w:style>
  <w:style w:styleId="Heading1" w:type="paragraph">
    <w:name w:val="Heading 1"/>
    <w:basedOn w:val="headline-content-1"/>
  </w:style>
  <w:style w:styleId="Heading2" w:type="paragraph">
    <w:name w:val="Heading 2"/>
    <w:basedOn w:val="headline-content-2"/>
  </w:style>
  <w:style w:styleId="Heading3" w:type="paragraph">
    <w:name w:val="Heading 3"/>
    <w:basedOn w:val="headline-content-3"/>
  </w:style>
  <w:style w:styleId="Heading4" w:type="paragraph">
    <w:name w:val="Heading 4"/>
    <w:basedOn w:val="headline-content-4"/>
  </w:style>
  <w:style w:styleId="Heading5" w:type="paragraph">
    <w:name w:val="Heading 5"/>
    <w:basedOn w:val="headline-content-5"/>
  </w:style>
  <w:style w:styleId="Heading6" w:type="paragraph">
    <w:name w:val="Heading 6"/>
    <w:basedOn w:val="headline-content-6"/>
  </w:style>
  <w:style w:styleId="Heading7" w:type="paragraph">
    <w:name w:val="Heading 7"/>
    <w:basedOn w:val="headline-content-7"/>
  </w:style>
  <w:style w:styleId="headline-content-run0" w:type="character">
    <w:name w:val="headline-content-run 0"/>
  </w:style>
  <w:style w:styleId="headline-content-run1" w:type="character">
    <w:name w:val="headline-content-run 1"/>
  </w:style>
  <w:style w:styleId="headline-content-run2" w:type="character">
    <w:name w:val="headline-content-run 2"/>
  </w:style>
  <w:style w:styleId="headline-content-run3" w:type="character">
    <w:name w:val="headline-content-run 3"/>
  </w:style>
  <w:style w:styleId="headline-content-run4" w:type="character">
    <w:name w:val="headline-content-run 4"/>
  </w:style>
  <w:style w:styleId="headline-content-run5" w:type="character">
    <w:name w:val="headline-content-run 5"/>
  </w:style>
  <w:style w:styleId="headline-content-run6" w:type="character">
    <w:name w:val="headline-content-run 6"/>
  </w:style>
  <w:style w:styleId="headline-content-run7" w:type="character">
    <w:name w:val="headline-content-run 7"/>
  </w:style>
  <w:style w:styleId="TOC1" w:type="paragraph">
    <w:name w:val="toc 1"/>
    <w:basedOn w:val="default"/>
    <w:semiHidden/>
    <w:pPr>
      <w:tabs>
        <w:tab w:leader="dot" w:pos="9639" w:val="right"/>
      </w:tabs>
      <w:spacing w:after="0" w:before="0"/>
      <w:ind w:hanging="0" w:left="0"/>
    </w:pPr>
  </w:style>
  <w:style w:styleId="TOC2" w:type="paragraph">
    <w:name w:val="toc 2"/>
    <w:basedOn w:val="default"/>
    <w:semiHidden/>
    <w:pPr>
      <w:tabs>
        <w:tab w:pos="340.20000000000005" w:val="left"/>
        <w:tab w:leader="dot" w:pos="9639" w:val="right"/>
      </w:tabs>
      <w:spacing w:after="0" w:before="0"/>
      <w:ind w:hanging="340.20000000000005" w:left="340.20000000000005"/>
    </w:pPr>
  </w:style>
  <w:style w:styleId="TOC3" w:type="paragraph">
    <w:name w:val="toc 3"/>
    <w:basedOn w:val="default"/>
    <w:semiHidden/>
    <w:pPr>
      <w:tabs>
        <w:tab w:pos="340.20000000000005" w:val="left"/>
        <w:tab w:leader="dot" w:pos="9639" w:val="right"/>
      </w:tabs>
      <w:spacing w:after="0" w:before="0"/>
      <w:ind w:hanging="340.20000000000005" w:left="340.20000000000005"/>
    </w:pPr>
  </w:style>
  <w:style w:styleId="TOC4" w:type="paragraph">
    <w:name w:val="toc 4"/>
    <w:basedOn w:val="default"/>
    <w:semiHidden/>
    <w:pPr>
      <w:tabs>
        <w:tab w:pos="340.20000000000005" w:val="left"/>
        <w:tab w:leader="dot" w:pos="9639" w:val="right"/>
      </w:tabs>
      <w:spacing w:after="0" w:before="0"/>
      <w:ind w:hanging="340.20000000000005" w:left="340.20000000000005"/>
    </w:pPr>
  </w:style>
  <w:style w:styleId="TOC5" w:type="paragraph">
    <w:name w:val="toc 5"/>
    <w:basedOn w:val="default"/>
    <w:semiHidden/>
    <w:pPr>
      <w:tabs>
        <w:tab w:pos="340.20000000000005" w:val="left"/>
        <w:tab w:leader="dot" w:pos="9639" w:val="right"/>
      </w:tabs>
      <w:spacing w:after="0" w:before="0"/>
      <w:ind w:hanging="340.20000000000005" w:left="340.20000000000005"/>
    </w:pPr>
  </w:style>
  <w:style w:styleId="IndexHeading" w:type="paragraph">
    <w:name w:val="index heading"/>
    <w:basedOn w:val="default"/>
  </w:style>
  <w:style w:styleId="Index1" w:type="paragraph">
    <w:name w:val="index 1"/>
    <w:basedOn w:val="default"/>
  </w:style>
  <w:style w:styleId="Index2" w:type="paragraph">
    <w:name w:val="index 2"/>
    <w:basedOn w:val="default"/>
    <w:pPr>
      <w:ind w:hanging="200" w:left="480"/>
    </w:pPr>
  </w:style>
  <w:style w:styleId="TableofFigures" w:type="paragraph">
    <w:name w:val="table of figures"/>
    <w:basedOn w:val="default"/>
  </w:style>
  <w:style w:styleId="FootnoteReference" w:type="character">
    <w:name w:val="footnote reference"/>
    <w:rPr>
      <w:vertAlign w:val="superscript"/>
    </w:rPr>
  </w:style>
</w:styles>
</file>

<file path=word/webSettings.xml><?xml version="1.0" encoding="utf-8"?>
<w:webSettings xmlns:w="http://schemas.openxmlformats.org/wordprocessingml/2006/main">
  <w:optimizeForBrowser/>
</w:webSettings>
</file>

<file path=word/_rels/document.xml.rels><?xml version="1.0" encoding="UTF-8"?><Relationships xmlns="http://schemas.openxmlformats.org/package/2006/relationships"><Relationship Id="rId1" Target="styles.xml" Type="http://schemas.openxmlformats.org/officeDocument/2006/relationships/styles"/><Relationship Id="N10466" Target="header1.xml" Type="http://schemas.openxmlformats.org/officeDocument/2006/relationships/header"/><Relationship Id="N104FD" Target="footer1.xml" Type="http://schemas.openxmlformats.org/officeDocument/2006/relationships/footer"/><Relationship Id="N103F0" Target="media/N103F0.jpg" Type="http://schemas.openxmlformats.org/officeDocument/2006/relationships/image"/><Relationship Id="rId5" Target="footnotes.xml" Type="http://schemas.openxmlformats.org/officeDocument/2006/relationships/footnotes"/><Relationship Id="rId6" Target="numbering.xml" Type="http://schemas.openxmlformats.org/officeDocument/2006/relationships/numbering"/><Relationship Id="rId7" Target="settings.xml" Type="http://schemas.openxmlformats.org/officeDocument/2006/relationships/settings"/><Relationship Id="rId8" Target="webSettings.xml" Type="http://schemas.openxmlformats.org/officeDocument/2006/relationships/webSettings"/></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N104CE" Target="media/N104CE.jpg" Type="http://schemas.openxmlformats.org/officeDocument/2006/relationships/image"/></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dc:title/>
  <dc:creator>Smart Media Creator</dc:creator>
  <cp:lastModifiedBy>Smart Media Creator</cp:lastModifiedBy>
  <cp:revision>1</cp:revision>
</cp:coreProperties>
</file>