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Personalisierte Verpackungen werden Realität: Innovationen für adaptive Fertigung auf der Interpack 2026</w:t>
      </w:r>
    </w:p>
    <w:p>
      <w:pPr>
        <w:pStyle w:val="label-first"/>
        <w:keepNext/>
        <w:ind w:left="0"/>
      </w:pPr>
      <w:r>
        <w:rPr>
          <w:b/>
          <w:sz w:val="20"/>
        </w:rPr>
        <w:t xml:space="preserve">B&amp;R präsentiert neue Vision- und Mechatroniklösungen für eine stärker autonome  Verpackungsproduktion</w:t>
      </w:r>
    </w:p>
    <w:p>
      <w:pPr>
        <w:pStyle w:val="par-first"/>
        <w:ind w:left="0"/>
        <w:jc w:val="left"/>
      </w:pPr>
      <w:r>
        <w:rPr>
          <w:i/>
          <w:i/>
        </w:rPr>
        <w:t xml:space="preserve">Die Anforderungen an Verpackungsanlagen steigen rasant: mehr Produktvarianten, engere Zeitfenster  und kürzere Produktlebenszyklen stellen Verpackungsprozesse vor immer größere Herausforderungen.  Auf der Interpack 2026 adressiert die Division Machine Automation von ABB (B&amp;R) diese Entwicklungen  mit neuen Automatisierungslösungen auf Basis der B&amp;R-Technologie. Sie ermöglichen es Herstellern,  bestehende Verpackungslinien schneller, effizienter und nachhaltiger anzupassen. Zu erleben sind die  neuen Lösungen in Halle 6, Stand E62.</w:t>
      </w:r>
    </w:p>
    <w:p>
      <w:pPr>
        <w:pStyle w:val="label"/>
        <w:keepNext/>
        <w:ind w:left="0"/>
      </w:pPr>
      <w:r>
        <w:rPr>
          <w:b/>
          <w:sz w:val="20"/>
        </w:rPr>
        <w:t xml:space="preserve">Transportsysteme über die Mechanik hinaus</w:t>
      </w:r>
    </w:p>
    <w:p>
      <w:pPr>
        <w:pStyle w:val="par"/>
        <w:ind w:left="0"/>
      </w:pPr>
      <w:r>
        <w:rPr/>
        <w:t xml:space="preserve">Mit ACOPOS 6D Hybrid erweitert B&amp;R die Flexibilität seines planaren Transportsystems und ergänzt  dieses um ACOPOS 6D LaunchPad, ein Softwarewerkzeug für simulationsgestütztes Engineering und  die Konfiguration. Das hybride Konzept kombiniert magnetisch schwebende ACOPOS-6D-Shuttles für  wertschöpfende, anspruchsvolle Prozessschritte mit konventionellen Transportsystemen wie Förderbändern, Robotern oder anderen Handhabungssystemen für weniger kritische Aufgaben – alles koordiniert innerhalb einer gemeinsamen Steuerungsarchitektur. Mit ACOPOS 6D LaunchPad lassen sich Maschinenlayouts, Shuttle-Bewegungen und Prozessabläufe bereits vor der Hardwareinstallation virtuell entwerfen, simulieren und optimieren. Hersteller können so  die Anlagenleistung frühzeitig validieren, die Inbetriebnahmezeit verkürzen und Systeme schrittweise  an steigende Anforderungen anpassen. Sobald die Hardware verfügbar ist, erfolgt der Übergang von  der Simulation in die reale Anlage nahtlos: Dank des „Configure-and-Run“-Ansatzes lässt sich das virtuelle Setup direkt auf die reale Hardware übertragen. Das Ergebnis sind geringerer Engineering-Aufwand, weniger späte Änderungen und eine deutlich verkürzte Time-to-Market – virtuelle Inbetriebnahme wird damit zu einem entscheidenden Wettbewerbsvorteil.</w:t>
      </w:r>
    </w:p>
    <w:p>
      <w:pPr>
        <w:pStyle w:val="label"/>
        <w:keepNext/>
        <w:ind w:left="0"/>
      </w:pPr>
      <w:r>
        <w:rPr>
          <w:b/>
          <w:sz w:val="20"/>
        </w:rPr>
        <w:t xml:space="preserve">Integrierte Machine Vision – sofort einsetzbar für Verpackungsanwendungen</w:t>
      </w:r>
    </w:p>
    <w:p>
      <w:pPr>
        <w:pStyle w:val="par"/>
        <w:ind w:left="0"/>
      </w:pPr>
      <w:r>
        <w:rPr/>
        <w:t xml:space="preserve">Die neue B&amp;R Color Camera verbessert zentrale Leistungskennzahlen im Druckprozess, indem sie visuelle, kamerabasierte Prozesskorrekturen bei Produktionsgeschwindigkeiten von bis zu 500 m/min ermöglicht. Direkt in den Regelkreis der Maschine integriert, unterstützt die Lösung eine  „First-Time-Right“-Produktion, reduziert Materialausschuss an der Quelle und steigert die Gesamtanlageneffektivität (OEE) – ein wichtiger Beitrag zu nachhaltigeren und wirtschaftlicheren Druckprozessen. Die Color Camera wurde speziell für moderne Verpackungs- und Druckanwendungen entwickelt, etwa  für Etikettierprozesse mit häufigen Designwechseln und anspruchsvollen Materialien wie glänzenden,  transparenten oder mehrfarbigen Substraten. Sie ermöglicht eine autonome Prozessoptimierung: Intelligente, adaptive Algorithmen – darunter eine automatische Belichtungsregelung – passen sich kontinuierlich an wechselnde Bedingungen an, ohne manuelles Eingreifen, und helfen so, Ausschuss zuverlässig zu vermeiden. Im Gegensatz zu separaten Vision-Systemen vereint die B&amp;R Color Camera Bildverarbeitung, Motion  und Steuerung auf einer einzigen deterministischen Plattform. Dies ermöglicht Echtzeitkorrekturen innerhalb des laufenden Prozesses mit Synchronisation im Mikrosekundenbereich. Eine einheitliche  Hard- und Softwareplattform unterstützt sowohl monochrome als auch farbbasierte Anwendungen,  vereinfacht das Maschinendesign, beschleunigt die Inbetriebnahme und erlaubt eine skalierbare Erweiterung der Vision-Funktionalität – alles innerhalb einer durchgängigen Engineering-Umgebung.</w:t>
      </w:r>
    </w:p>
    <w:p>
      <w:pPr>
        <w:pStyle w:val="par"/>
        <w:ind w:left="0"/>
      </w:pPr>
      <w:r>
        <w:rPr/>
        <w:t xml:space="preserve">„Unsere Innovationen auf der Interpack zeigen, dass wir der Verpackungsindustrie Lösungen für ihre  drängendsten Herausforderungen an die Hand geben wollen: schnelle Produktwechsel, ständig neue  Varianten und eine durchgängig maximierte Produktivität – damit Verpackung persönlicher werden  kann“, sagt Lazaros Patsakas, Global Industry Segment Manager CPG bei B&amp;R. „Diese Herausforderungen lassen sich nur mit intelligenter, zukunftssicherer Automatisierung bewältigen.“</w:t>
      </w:r>
    </w:p>
    <w:p>
      <w:pPr>
        <w:pStyle w:val="label"/>
        <w:keepNext/>
        <w:ind w:left="0"/>
      </w:pPr>
    </w:p>
    <w:p>
      <w:pPr>
        <w:pStyle w:val="label"/>
        <w:keepNext/>
        <w:ind w:left="0"/>
      </w:pPr>
    </w:p>
    <w:p>
      <w:pPr/>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3000"/>
            <wp:effectExtent b="0" l="0" r="0" t="0"/>
            <wp:docPr id="1" name="BR - woman working on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 woman working on laptop"/>
                    <pic:cNvPicPr/>
                  </pic:nvPicPr>
                  <pic:blipFill>
                    <a:blip xmlns:r="http://schemas.openxmlformats.org/officeDocument/2006/relationships" cstate="print" r:embed="N103C9"/>
                    <a:stretch>
                      <a:fillRect/>
                    </a:stretch>
                  </pic:blipFill>
                  <pic:spPr>
                    <a:xfrm>
                      <a:off x="0" y="0"/>
                      <a:ext cx="3600000" cy="2403000"/>
                    </a:xfrm>
                    <a:prstGeom prst="rect">
                      <a:avLst/>
                    </a:prstGeom>
                  </pic:spPr>
                </pic:pic>
              </a:graphicData>
            </a:graphic>
          </wp:inline>
        </w:drawing>
      </w:r>
    </w:p>
    <w:p>
      <w:pPr>
        <w:pStyle w:val="media-caption"/>
        <w:ind w:left="0"/>
      </w:pPr>
      <w:r>
        <w:t xml:space="preserve">B&amp;R präsentiert neue Vision- und Mechatroniklösungen für eine stärker autonome Verpackungsproduktion</w:t>
      </w:r>
    </w:p>
    <w:bookmarkEnd w:id="7"/>
    <w:bookmarkEnd w:id="6"/>
    <w:bookmarkStart w:id="8" w:name="_XREFN1005B"/>
    <w:bookmarkStart w:id="9" w:name="_XREFN1005C"/>
    <w:p>
      <w:pPr>
        <w:spacing w:after="200" w:before="0"/>
        <w:ind w:left="0"/>
      </w:pPr>
      <w:r>
        <w:drawing>
          <wp:inline xmlns:wp="http://schemas.openxmlformats.org/drawingml/2006/wordprocessingDrawing" distB="0" distL="0" distR="0" distT="0">
            <wp:extent cx="3600000" cy="5398313"/>
            <wp:effectExtent b="0" l="0" r="0" t="0"/>
            <wp:docPr id="2" name="BR - ACOPOS 6D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 - ACOPOS 6D - 12"/>
                    <pic:cNvPicPr/>
                  </pic:nvPicPr>
                  <pic:blipFill>
                    <a:blip xmlns:r="http://schemas.openxmlformats.org/officeDocument/2006/relationships" cstate="print" r:embed="N10419"/>
                    <a:stretch>
                      <a:fillRect/>
                    </a:stretch>
                  </pic:blipFill>
                  <pic:spPr>
                    <a:xfrm>
                      <a:off x="0" y="0"/>
                      <a:ext cx="3600000" cy="5398313"/>
                    </a:xfrm>
                    <a:prstGeom prst="rect">
                      <a:avLst/>
                    </a:prstGeom>
                  </pic:spPr>
                </pic:pic>
              </a:graphicData>
            </a:graphic>
          </wp:inline>
        </w:drawing>
      </w:r>
    </w:p>
    <w:bookmarkEnd w:id="9"/>
    <w:bookmarkEnd w:id="8"/>
    <w:bookmarkStart w:id="10" w:name="_XREFN10064"/>
    <w:bookmarkStart w:id="11" w:name="_XREFN10065"/>
    <w:p>
      <w:pPr>
        <w:spacing w:after="200" w:before="0"/>
        <w:ind w:left="0"/>
      </w:pPr>
      <w:r>
        <w:drawing>
          <wp:inline xmlns:wp="http://schemas.openxmlformats.org/drawingml/2006/wordprocessingDrawing" distB="0" distL="0" distR="0" distT="0">
            <wp:extent cx="3600000" cy="2400750"/>
            <wp:effectExtent b="0" l="0" r="0" t="0"/>
            <wp:docPr id="3" name="Color Camera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r Camera Visual"/>
                    <pic:cNvPicPr/>
                  </pic:nvPicPr>
                  <pic:blipFill>
                    <a:blip xmlns:r="http://schemas.openxmlformats.org/officeDocument/2006/relationships" cstate="print" r:embed="N1045E"/>
                    <a:stretch>
                      <a:fillRect/>
                    </a:stretch>
                  </pic:blipFill>
                  <pic:spPr>
                    <a:xfrm>
                      <a:off x="0" y="0"/>
                      <a:ext cx="3600000" cy="2400750"/>
                    </a:xfrm>
                    <a:prstGeom prst="rect">
                      <a:avLst/>
                    </a:prstGeom>
                  </pic:spPr>
                </pic:pic>
              </a:graphicData>
            </a:graphic>
          </wp:inline>
        </w:drawing>
      </w:r>
    </w:p>
    <w:bookmarkEnd w:id="11"/>
    <w:bookmarkEnd w:id="10"/>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C9" w:type="default"/>
      <w:footerReference xmlns:r="http://schemas.openxmlformats.org/officeDocument/2006/relationships" r:id="N1056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3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9" Target="header1.xml" Type="http://schemas.openxmlformats.org/officeDocument/2006/relationships/header"/><Relationship Id="N10560" Target="footer1.xml" Type="http://schemas.openxmlformats.org/officeDocument/2006/relationships/footer"/><Relationship Id="N103C9" Target="media/N103C9.jpg" Type="http://schemas.openxmlformats.org/officeDocument/2006/relationships/image"/><Relationship Id="N10419" Target="media/N10419.jpg" Type="http://schemas.openxmlformats.org/officeDocument/2006/relationships/image"/><Relationship Id="N1045E" Target="media/N1045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1" Target="media/N1053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