
<file path=[Content_Types].xml><?xml version="1.0" encoding="utf-8"?>
<Types xmlns="http://schemas.openxmlformats.org/package/2006/content-types">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webSettings+xml" PartName="/word/webSettings.xml"/>
</Types>
</file>

<file path=_rels/.rels><?xml version="1.0" encoding="UTF-8"?><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http://schemas.openxmlformats.org/wordprocessingml/2006/main">
  <w:body>
    <w:p>
      <w:pPr>
        <w:pStyle w:val="headline-content-0"/>
        <w:keepNext/>
      </w:pPr>
      <w:r>
        <w:rPr>
          <w:rStyle w:val="headline-content-run0"/>
          <w:b/>
          <w:sz w:val="24"/>
        </w:rPr>
        <w:t xml:space="preserve">Shaping the future of packaging</w:t>
      </w:r>
    </w:p>
    <w:p>
      <w:pPr>
        <w:pStyle w:val="label-first"/>
        <w:keepNext/>
        <w:ind w:left="0"/>
      </w:pPr>
      <w:r>
        <w:rPr>
          <w:b/>
          <w:sz w:val="20"/>
        </w:rPr>
        <w:t xml:space="preserve">ABB’s Machine Automation division will showcase adaptive automation solutions for  the packaging industry at Pack Expo International 2026. </w:t>
      </w:r>
    </w:p>
    <w:p>
      <w:pPr>
        <w:pStyle w:val="par-first"/>
        <w:ind w:left="0"/>
        <w:jc w:val="left"/>
      </w:pPr>
      <w:r>
        <w:rPr>
          <w:i/>
          <w:i/>
        </w:rPr>
        <w:t xml:space="preserve">Chicago, IL October 18-21, 2026</w:t>
      </w:r>
      <w:r>
        <w:rPr>
          <w:i/>
          <w:i/>
        </w:rPr>
        <w:t xml:space="preserve"> — B&amp;R, a division of ABB and a leader in machine automation, will showcase innovative automation solutions designed to help packaging machine builders and manufacturers increase flexibility, improve performance, and accelerate time-to-market at PACK EXPO International 2026. At booth S-2451, visitors will experience the latest advancements in intelligent motion control, adaptive manufacturing, simulation technologies and hygienic automation solutions for packaging applications.     </w:t>
      </w:r>
    </w:p>
    <w:p>
      <w:pPr>
        <w:pStyle w:val="par"/>
        <w:ind w:left="0"/>
      </w:pPr>
      <w:r>
        <w:rPr/>
        <w:t xml:space="preserve">As packaging manufacturers face growing demands for product variety, shorter production runs, and  greater operational efficiency, they must also meet increasingly stringent hygiene and product safety requirements. B&amp;R continues to develop technologies that simplify machine design while delivering  the agility needed for today's production environments. </w:t>
      </w:r>
    </w:p>
    <w:p>
      <w:pPr>
        <w:pStyle w:val="par"/>
        <w:ind w:left="0"/>
      </w:pPr>
      <w:r>
        <w:rPr/>
        <w:t xml:space="preserve">A featured highlight at the booth will be a </w:t>
      </w:r>
      <w:r>
        <w:rPr>
          <w:b/>
        </w:rPr>
        <w:t xml:space="preserve">new compact conveyor demonstration with an integrated  diversion system</w:t>
      </w:r>
      <w:r>
        <w:rPr/>
        <w:t xml:space="preserve">, showcasing how manufacturers can achieve efficient product handling and routing  within a smaller machine footprint. The demonstration illustrates how intelligent automation solutions can help packaging operations adapt quickly to changing production requirements while maximizing throughput and maintaining the high standards increasingly expected in food, beverage and  consumer goods production. </w:t>
      </w:r>
    </w:p>
    <w:p>
      <w:pPr>
        <w:pStyle w:val="label"/>
        <w:keepNext/>
        <w:ind w:left="0"/>
      </w:pPr>
      <w:r>
        <w:rPr>
          <w:b/>
          <w:sz w:val="20"/>
        </w:rPr>
        <w:t xml:space="preserve">From concept to commissioning with digital simulation   </w:t>
      </w:r>
    </w:p>
    <w:p>
      <w:pPr>
        <w:pStyle w:val="par"/>
        <w:ind w:left="0"/>
      </w:pPr>
      <w:r>
        <w:rPr/>
        <w:t xml:space="preserve">B&amp;R helps machine builders accelerate development and reduce project risk through advanced simula- tion and virtual engineering tools. With ACOPOS 6D LaunchPad, manufacturers can design, simulate  and optimize machine layouts, transport flows and production scenarios before hardware is installed. By testing concepts in a virtual environment, machine builders can reduce engineering effort, identify potential issues earlier and accelerate commissioning. </w:t>
      </w:r>
    </w:p>
    <w:p>
      <w:pPr>
        <w:pStyle w:val="par"/>
        <w:ind w:left="0"/>
      </w:pPr>
      <w:r>
        <w:rPr/>
        <w:t xml:space="preserve">Combined with B&amp;R's unified automation platform, simulation capabilities enable manufacturers to validate machine performance, optimize throughput and shorten time-to-market while reducing development costs. </w:t>
      </w:r>
    </w:p>
    <w:p>
      <w:pPr>
        <w:pStyle w:val="par"/>
        <w:ind w:left="0"/>
      </w:pPr>
      <w:r>
        <w:rPr/>
        <w:t xml:space="preserve">Integrated automation technologies further enhance machine flexibility by seamlessly coordinating motion control, machine control, product handling and digital engineering tools within a single environment. This enables machine builders to simplify development while achieving higher levels of productivity and adaptability. </w:t>
      </w:r>
    </w:p>
    <w:p>
      <w:pPr>
        <w:pStyle w:val="label"/>
        <w:keepNext/>
        <w:ind w:left="0"/>
      </w:pPr>
      <w:r>
        <w:rPr>
          <w:b/>
          <w:sz w:val="20"/>
        </w:rPr>
        <w:t xml:space="preserve">Automation ready for changing demands </w:t>
      </w:r>
    </w:p>
    <w:p>
      <w:pPr>
        <w:pStyle w:val="par"/>
        <w:ind w:left="0"/>
      </w:pPr>
      <w:r>
        <w:rPr/>
        <w:t xml:space="preserve">As packaging operations evolve toward greater product personalization, increased production variability and stricter hygiene requirements, manufacturers require solutions that can adapt quickly with- out sacrificing performance. B&amp;R's portfolio of transport, motion control and automation technologies enables machine builders to create equipment that supports greater flexibility, scalability and operational efficiency. </w:t>
      </w:r>
    </w:p>
    <w:p>
      <w:pPr>
        <w:pStyle w:val="par"/>
        <w:ind w:left="0"/>
      </w:pPr>
      <w:r>
        <w:rPr/>
        <w:t xml:space="preserve">"Today's packaging manufacturers need automation that can respond quickly to changing production  requirements while maintaining maximum productivity,"</w:t>
      </w:r>
      <w:r>
        <w:rPr/>
        <w:t xml:space="preserve"> said </w:t>
      </w:r>
      <w:r>
        <w:rPr>
          <w:b/>
        </w:rPr>
        <w:t xml:space="preserve">Lazaros Patsakas, Global Industry Segment Manager CPG at B&amp;R</w:t>
      </w:r>
      <w:r>
        <w:rPr/>
        <w:t xml:space="preserve">. </w:t>
      </w:r>
      <w:r>
        <w:rPr/>
        <w:t xml:space="preserve">"At PACK EXPO, we're demonstrating how intelligent transport, product  handling and integrated automation technologies help our customers build more adaptable, future- ready packaging operations."</w:t>
      </w:r>
      <w:r>
        <w:t xml:space="preserve"> </w:t>
      </w:r>
    </w:p>
    <w:p>
      <w:pPr>
        <w:pStyle w:val="par"/>
        <w:ind w:left="0"/>
      </w:pPr>
      <w:r>
        <w:rPr/>
        <w:t xml:space="preserve">Throughout the event, B&amp;R experts will demonstrate how integrated automation technologies can  help manufacturers improve productivity, adapt to changing consumer demands and create packaging solutions that are ready for the challenges of tomorrow's manufacturing  environment. </w:t>
      </w:r>
    </w:p>
    <w:p>
      <w:pPr>
        <w:pStyle w:val="par"/>
        <w:ind w:left="0"/>
      </w:pPr>
      <w:r>
        <w:rPr/>
        <w:t xml:space="preserve">To learn more, visit </w:t>
      </w:r>
      <w:r>
        <w:rPr>
          <w:b/>
        </w:rPr>
        <w:t xml:space="preserve">B&amp;R at Booth S-2451 in the South Building during PACK EXPO International 2026 </w:t>
      </w:r>
    </w:p>
    <w:p>
      <w:pPr/>
    </w:p>
    <w:bookmarkStart w:id="12" w:name="_XREFN100C2"/>
    <w:bookmarkStart w:id="13" w:name="_XREFN100C7"/>
    <w:p>
      <w:pPr>
        <w:keepNext/>
        <w:spacing w:after="20" w:before="0"/>
        <w:ind w:left="0"/>
      </w:pPr>
      <w:r>
        <w:drawing>
          <wp:inline xmlns:wp="http://schemas.openxmlformats.org/drawingml/2006/wordprocessingDrawing" distB="0" distL="0" distR="0" distT="0">
            <wp:extent cx="3600000" cy="2400750"/>
            <wp:effectExtent b="0" l="0" r="0" t="0"/>
            <wp:docPr id="1" name="IMG Pack EXPO ACOPOStrak180Compact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 Pack EXPO ACOPOStrak180CompactCurve"/>
                    <pic:cNvPicPr/>
                  </pic:nvPicPr>
                  <pic:blipFill>
                    <a:blip xmlns:r="http://schemas.openxmlformats.org/officeDocument/2006/relationships" cstate="print" r:embed="N1044E"/>
                    <a:stretch>
                      <a:fillRect/>
                    </a:stretch>
                  </pic:blipFill>
                  <pic:spPr>
                    <a:xfrm>
                      <a:off x="0" y="0"/>
                      <a:ext cx="3600000" cy="2400750"/>
                    </a:xfrm>
                    <a:prstGeom prst="rect">
                      <a:avLst/>
                    </a:prstGeom>
                  </pic:spPr>
                </pic:pic>
              </a:graphicData>
            </a:graphic>
          </wp:inline>
        </w:drawing>
      </w:r>
    </w:p>
    <w:p>
      <w:pPr>
        <w:pStyle w:val="media-caption"/>
        <w:ind w:left="0"/>
      </w:pPr>
      <w:r>
        <w:t xml:space="preserve">One of the featured highlights at Booth S-2451 is the B&amp;R Compact Curve with diversion, demonstrating flexible product handling and intelligent conveying in a compact footprint. Stop by and see it in  action. </w:t>
      </w:r>
    </w:p>
    <w:bookmarkEnd w:id="13"/>
    <w:bookmarkEnd w:id="12"/>
    <w:p>
      <w:pPr/>
    </w:p>
    <w:p>
      <w:pPr/>
    </w:p>
    <w:p>
      <w:pPr/>
    </w:p>
    <w:p>
      <w:pPr>
        <w:pStyle w:val="headline-content-1"/>
        <w:keepNext/>
      </w:pPr>
      <w:r>
        <w:rPr>
          <w:rStyle w:val="headline-content-run1"/>
          <w:sz w:val="16"/>
        </w:rPr>
        <w:t xml:space="preserve">About Machine Automation, ABB</w:t>
      </w:r>
    </w:p>
    <w:p>
      <w:pPr>
        <w:pStyle w:val="par"/>
        <w:ind w:left="0"/>
      </w:pPr>
      <w:r>
        <w:rPr>
          <w:sz w:val="16"/>
        </w:rPr>
        <w:t xml:space="preserve">ABB’s Machine Automation division delivers automation solutions and services for machine and factory applications across industries such as consumer packaged goods, printing, life sciences, plastics, energy and maritime. With its B&amp;R’s product portfolio, the division delivers integrated control and software, motion control, mechatronics, and machine automation technologies designed to simplify processes and optimize factory operations.</w:t>
      </w:r>
    </w:p>
    <w:sectPr>
      <w:headerReference xmlns:r="http://schemas.openxmlformats.org/officeDocument/2006/relationships" r:id="N104C4" w:type="default"/>
      <w:footerReference xmlns:r="http://schemas.openxmlformats.org/officeDocument/2006/relationships" r:id="N1055B" w:type="default"/>
      <w:type w:val="continuous"/>
      <w:pgSz w:code="9" w:h="16839" w:w="11907"/>
      <w:pgMar w:bottom="1984" w:footer="567" w:header="567" w:left="1134" w:right="1134" w:top="2268"/>
    </w:sectPr>
  </w:body>
</w:document>
</file>

<file path=word/footer1.xml><?xml version="1.0" encoding="utf-8"?>
<w:ftr xmlns:w="http://schemas.openxmlformats.org/wordprocessingml/2006/main">
  <w:tbl>
    <w:tblPr>
      <w:tblW w:type="dxa" w:w="9638"/>
      <w:tblInd w:type="dxa" w:w="0"/>
      <w:tblLayout w:type="fixed"/>
    </w:tblPr>
    <w:tblGrid>
      <w:gridCol w:w="4819"/>
      <w:gridCol w:w="4819"/>
    </w:tblGrid>
    <w:tr>
      <w:trPr>
        <w:trHeight w:hRule="exact" w:val="1417"/>
      </w:trPr>
      <w:tc>
        <w:tcPr>
          <w:tcW w:type="dxa" w:w="4819"/>
          <w:tcMar>
            <w:top w:type="dxa" w:w="226"/>
            <w:left w:type="dxa" w:w="0"/>
            <w:right w:type="dxa" w:w="0"/>
          </w:tcMar>
          <w:vAlign w:val="top"/>
        </w:tcPr>
        <w:p>
          <w:pPr>
            <w:pStyle w:val="footer"/>
            <w:ind w:left="0"/>
            <w:jc w:val="left"/>
          </w:pPr>
          <w:r>
            <w:rPr>
              <w:sz w:val="14"/>
            </w:rPr>
            <w:t>Press contact</w:t>
          </w:r>
          <w:r>
            <w:rPr>
              <w:sz w:val="14"/>
            </w:rPr>
            <w:t xml:space="preserve">:</w:t>
          </w:r>
          <w:r>
            <w:br w:type="textWrapping"/>
          </w:r>
          <w:r>
            <w:br w:type="textWrapping"/>
          </w:r>
          <w:r>
            <w:br w:type="textWrapping"/>
          </w:r>
          <w:r>
            <w:rPr>
              <w:sz w:val="14"/>
            </w:rPr>
            <w:t xml:space="preserve">press.br@abb.com</w:t>
          </w:r>
          <w:r>
            <w:br w:type="textWrapping"/>
          </w:r>
          <w:r>
            <w:br w:type="textWrapping"/>
          </w:r>
        </w:p>
      </w:tc>
      <w:tc>
        <w:tcPr>
          <w:tcW w:type="dxa" w:w="4819"/>
          <w:tcMar>
            <w:top w:type="dxa" w:w="226"/>
            <w:left w:type="dxa" w:w="0"/>
            <w:right w:type="dxa" w:w="0"/>
          </w:tcMar>
          <w:vAlign w:val="top"/>
        </w:tcPr>
        <w:p>
          <w:pPr>
            <w:pStyle w:val="footer"/>
            <w:spacing w:after="0"/>
            <w:ind w:left="0"/>
            <w:jc w:val="right"/>
          </w:pPr>
          <w:r>
            <w:br w:type="textWrapping"/>
          </w:r>
          <w:r>
            <w:rPr>
              <w:sz w:val="14"/>
            </w:rPr>
            <w:t>Page</w:t>
          </w:r>
          <w:r>
            <w:rPr>
              <w:rFonts w:ascii="Arial" w:hAnsi="Arial"/>
            </w:rPr>
            <w:t> </w:t>
          </w:r>
          <w:r>
            <w:rPr>
              <w:b/>
              <w:sz w:val="14"/>
            </w:rPr>
            <w:fldChar w:fldCharType="begin"/>
            <w:instrText xml:space="preserve"> PAGE \* Arabic </w:instrText>
            <w:fldChar w:fldCharType="end"/>
          </w:r>
          <w:r>
            <w:rPr>
              <w:b/>
              <w:sz w:val="14"/>
            </w:rPr>
            <w:t xml:space="preserve">/</w:t>
          </w:r>
          <w:r>
            <w:rPr>
              <w:b/>
              <w:sz w:val="14"/>
            </w:rPr>
            <w:fldChar w:fldCharType="begin"/>
            <w:instrText xml:space="preserve"> NUMPAGES   \* MERGEFORMAT </w:instrText>
            <w:fldChar w:fldCharType="end"/>
          </w:r>
        </w:p>
      </w:tc>
    </w:tr>
  </w:tbl>
</w:ftr>
</file>

<file path=word/footnotes.xml><?xml version="1.0" encoding="utf-8"?>
<w:footnotes xmlns:w="http://schemas.openxmlformats.org/wordprocessingml/2006/main"/>
</file>

<file path=word/header1.xml><?xml version="1.0" encoding="utf-8"?>
<w:hdr xmlns:w="http://schemas.openxmlformats.org/wordprocessingml/2006/main">
  <w:tbl>
    <w:tblPr>
      <w:tblW w:type="dxa" w:w="9638"/>
      <w:tblInd w:type="dxa" w:w="0"/>
      <w:tblLayout w:type="fixed"/>
    </w:tblPr>
    <w:tblGrid>
      <w:gridCol w:w="5783"/>
      <w:gridCol w:w="3855"/>
    </w:tblGrid>
    <w:tr>
      <w:trPr/>
      <w:tc>
        <w:tcPr>
          <w:tcW w:type="dxa" w:w="5783"/>
          <w:shd w:fill="FFFFFF" w:val="clear"/>
          <w:tcMar>
            <w:top w:type="dxa" w:w="226"/>
            <w:left w:type="dxa" w:w="0"/>
            <w:bottom w:type="dxa" w:w="226"/>
            <w:right w:type="dxa" w:w="0"/>
          </w:tcMar>
          <w:vAlign w:val="bottom"/>
        </w:tcPr>
        <w:p>
          <w:pPr>
            <w:pStyle w:val="header"/>
            <w:spacing w:after="0"/>
            <w:ind w:left="0"/>
            <w:jc w:val="left"/>
          </w:pPr>
          <w:r>
            <w:rPr>
              <w:b/>
              <w:color w:val="000000"/>
              <w:sz w:val="32"/>
            </w:rPr>
            <w:t>Press release</w:t>
          </w:r>
        </w:p>
      </w:tc>
      <w:tc>
        <w:tcPr>
          <w:tcW w:type="dxa" w:w="3855"/>
          <w:shd w:fill="FFFFFF" w:val="clear"/>
          <w:tcMar>
            <w:top w:type="dxa" w:w="226"/>
            <w:left w:type="dxa" w:w="0"/>
            <w:bottom w:type="dxa" w:w="226"/>
            <w:right w:type="dxa" w:w="0"/>
          </w:tcMar>
          <w:vAlign w:val="bottom"/>
        </w:tcPr>
        <w:p>
          <w:pPr>
            <w:pStyle w:val="header-logo"/>
            <w:spacing w:after="0"/>
            <w:ind w:left="0"/>
            <w:jc w:val="right"/>
          </w:pPr>
          <w:r>
            <w:drawing>
              <wp:inline xmlns:wp="http://schemas.openxmlformats.org/drawingml/2006/wordprocessingDrawing" distB="0" distL="0" distR="0" distT="0">
                <wp:extent cx="1505712" cy="518160"/>
                <wp:effectExtent b="0" l="0" r="0" t="0"/>
                <wp:docPr id="2" name="log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022"/>
                        <pic:cNvPicPr/>
                      </pic:nvPicPr>
                      <pic:blipFill>
                        <a:blip xmlns:r="http://schemas.openxmlformats.org/officeDocument/2006/relationships" cstate="print" r:embed="N1052C"/>
                        <a:stretch>
                          <a:fillRect/>
                        </a:stretch>
                      </pic:blipFill>
                      <pic:spPr>
                        <a:xfrm>
                          <a:off x="0" y="0"/>
                          <a:ext cx="1505712" cy="518160"/>
                        </a:xfrm>
                        <a:prstGeom prst="rect">
                          <a:avLst/>
                        </a:prstGeom>
                      </pic:spPr>
                    </pic:pic>
                  </a:graphicData>
                </a:graphic>
              </wp:inline>
            </w:drawing>
          </w:r>
        </w:p>
      </w:tc>
    </w:tr>
  </w:tbl>
</w:hdr>
</file>

<file path=word/numbering.xml><?xml version="1.0" encoding="utf-8"?>
<w:numbering xmlns:w="http://schemas.openxmlformats.org/wordprocessingml/2006/main">
  <w:abstractNum w:abstractNumId="2">
    <w:nsid w:val="0E6454FE"/>
    <w:multiLevelType w:val="multilevel"/>
    <w:tmpl w:val="D386552E"/>
    <w:lvl w:ilvl="0">
      <w:start w:val="1"/>
      <w:pStyle w:val="headline-content-1"/>
      <w:suff w:val="tab"/>
      <w:lvlText w:val="%1"/>
      <w:lvlJc w:val="left"/>
      <w:pPr>
        <w:tabs>
          <w:tab w:pos="1417.5" w:val="num"/>
        </w:tabs>
        <w:ind w:hanging="1417.5" w:left="1417.5"/>
      </w:pPr>
    </w:lvl>
    <w:lvl w:ilvl="1">
      <w:start w:val="1"/>
      <w:suff w:val="tab"/>
      <w:lvlText w:val="%1.%2"/>
      <w:lvlJc w:val="left"/>
      <w:pPr>
        <w:tabs>
          <w:tab w:pos="1417.5" w:val="num"/>
        </w:tabs>
        <w:ind w:hanging="1417.5" w:left="1417.5"/>
      </w:pPr>
    </w:lvl>
    <w:lvl w:ilvl="2">
      <w:start w:val="1"/>
      <w:suff w:val="tab"/>
      <w:lvlText w:val="%1.%2.%3"/>
      <w:lvlJc w:val="left"/>
      <w:pPr>
        <w:tabs>
          <w:tab w:pos="1417.5" w:val="num"/>
        </w:tabs>
        <w:ind w:hanging="1417.5" w:left="1417.5"/>
      </w:pPr>
    </w:lvl>
    <w:lvl w:ilvl="3">
      <w:start w:val="1"/>
      <w:suff w:val="tab"/>
      <w:lvlText w:val="%1.%2.%3.%4"/>
      <w:lvlJc w:val="left"/>
      <w:pPr>
        <w:tabs>
          <w:tab w:pos="1417.5" w:val="num"/>
        </w:tabs>
        <w:ind w:hanging="1417.5" w:left="1417.5"/>
      </w:pPr>
    </w:lvl>
    <w:lvl w:ilvl="4">
      <w:start w:val="1"/>
      <w:suff w:val="tab"/>
      <w:lvlText w:val="%1.%2.%3.%4.%5"/>
      <w:lvlJc w:val="left"/>
      <w:pPr>
        <w:tabs>
          <w:tab w:pos="1417.5" w:val="num"/>
        </w:tabs>
        <w:ind w:hanging="1417.5" w:left="1417.5"/>
      </w:pPr>
    </w:lvl>
    <w:lvl w:ilvl="5">
      <w:start w:val="1"/>
      <w:suff w:val="tab"/>
      <w:lvlText w:val="%1.%2.%3.%4.%5.%6"/>
      <w:lvlJc w:val="left"/>
      <w:pPr>
        <w:tabs>
          <w:tab w:pos="1417.5" w:val="num"/>
        </w:tabs>
        <w:ind w:hanging="1417.5" w:left="1417.5"/>
      </w:pPr>
    </w:lvl>
    <w:lvl w:ilvl="6">
      <w:start w:val="1"/>
      <w:suff w:val="tab"/>
      <w:lvlText w:val="%1.%2.%3.%4.%5.%6.%7"/>
      <w:lvlJc w:val="left"/>
      <w:pPr>
        <w:tabs>
          <w:tab w:pos="1417.5" w:val="num"/>
        </w:tabs>
        <w:ind w:hanging="1417.5" w:left="1417.5"/>
      </w:pPr>
    </w:lvl>
    <w:lvl w:ilvl="7">
      <w:start w:val="1"/>
      <w:suff w:val="tab"/>
      <w:lvlText w:val="%1.%2.%3.%4.%5.%6.%7.%8"/>
      <w:lvlJc w:val="left"/>
      <w:pPr>
        <w:tabs>
          <w:tab w:pos="1417.5" w:val="num"/>
        </w:tabs>
        <w:ind w:hanging="1417.5" w:left="1417.5"/>
      </w:pPr>
    </w:lvl>
  </w:abstractNum>
  <w:abstractNum w:abstractNumId="6">
    <w:multiLevelType w:val="hybridMultilevel"/>
    <w:lvl w:ilvl="0" w:tplc="CB7E2DBC">
      <w:start w:val="1"/>
      <w:numFmt w:val="bullet"/>
      <w:lvlText w:val="►"/>
      <w:lvlJc w:val="left"/>
      <w:pPr>
        <w:ind w:hanging="360" w:left="720"/>
      </w:pPr>
      <w:rPr>
        <w:rFonts w:ascii="Arial" w:eastAsia="AR PL KaitiM Big5" w:hAnsi="Arial" w:hint="default"/>
        <w:color w:val="97AA61"/>
        <w:sz w:val="16"/>
      </w:rPr>
    </w:lvl>
  </w:abstractNum>
  <w:num w:numId="3">
    <w:abstractNumId w:val="2"/>
  </w:num>
  <w:num w:numId="7">
    <w:abstractNumId w:val="6"/>
  </w:num>
  <w:numIdMacAtCleanup w:val="12"/>
</w:numbering>
</file>

<file path=word/settings.xml><?xml version="1.0" encoding="utf-8"?>
<w:settings xmlns:w="http://schemas.openxmlformats.org/wordprocessingml/2006/main">
  <w:view w:val="print"/>
  <w:zoom w:percent="100"/>
  <w:embedSystemFonts w:val="off"/>
  <w:defaultTabStop w:val="708"/>
  <w:autoHyphenation/>
  <w:hyphenationZone w:val="425"/>
  <w:noPunctuationKerning w:val="on"/>
  <w:characterSpacingControl w:val="doNotCompress"/>
  <w:ignoreMixedContent w:val="off"/>
  <w:alwaysShowPlaceholderText w:val="off"/>
  <w:compat>
    <w:suppressTopSpacing w:val="on"/>
    <w:suppressSpBfAfterPgBrk w:val="on"/>
    <w:doNotBreakWrappedTables w:val="off"/>
    <w:doNotSnapToGridInCell w:val="off"/>
    <w:doNotWrapTextWithPunct w:val="off"/>
    <w:doNotUseEastAsianBreakRules w:val="off"/>
    <w:growAutofit w:val="off"/>
  </w:compat>
</w:settings>
</file>

<file path=word/styles.xml><?xml version="1.0" encoding="utf-8"?>
<w:styles xmlns:w="http://schemas.openxmlformats.org/wordprocessingml/2006/main">
  <w:docDefaults>
    <w:rPrDefault>
      <w:rPr/>
    </w:rPrDefault>
    <w:pPrDefault>
      <w:pPr/>
    </w:pPrDefault>
  </w:docDefaults>
  <w:style w:default="on" w:styleId="default" w:type="paragraph">
    <w:name w:val="default"/>
    <w:pPr>
      <w:jc w:val="left"/>
    </w:pPr>
    <w:rPr>
      <w:rFonts w:ascii="Arial" w:hAnsi="Arial"/>
      <w:sz w:val="20"/>
    </w:rPr>
  </w:style>
  <w:style w:styleId="container-block" w:type="paragraph">
    <w:name w:val="container-block"/>
    <w:basedOn w:val="default"/>
    <w:pPr>
      <w:spacing w:after="200"/>
      <w:jc w:val="left"/>
    </w:pPr>
  </w:style>
  <w:style w:styleId="header" w:type="paragraph">
    <w:name w:val="header"/>
    <w:basedOn w:val="default"/>
    <w:pPr>
      <w:shd w:fill="FFFFFF" w:val="clear"/>
      <w:jc w:val="left"/>
    </w:pPr>
    <w:rPr>
      <w:b/>
      <w:color w:val="000000"/>
      <w:sz w:val="32"/>
    </w:rPr>
  </w:style>
  <w:style w:styleId="header-logo" w:type="paragraph">
    <w:name w:val="header-logo"/>
    <w:basedOn w:val="default"/>
    <w:pPr>
      <w:shd w:fill="FFFFFF" w:val="clear"/>
    </w:pPr>
    <w:rPr>
      <w:b/>
      <w:caps/>
      <w:color w:val="FFFFFF"/>
      <w:sz w:val="32"/>
    </w:rPr>
  </w:style>
  <w:style w:styleId="table-cell" w:type="paragraph">
    <w:name w:val="table-cell"/>
    <w:basedOn w:val="default"/>
    <w:pPr/>
  </w:style>
  <w:style w:styleId="footer" w:type="paragraph">
    <w:name w:val="footer"/>
    <w:basedOn w:val="default"/>
    <w:pPr>
      <w:jc w:val="left"/>
    </w:pPr>
    <w:rPr>
      <w:sz w:val="14"/>
    </w:rPr>
  </w:style>
  <w:style w:styleId="headline-content" w:type="paragraph">
    <w:name w:val="headline-content"/>
    <w:basedOn w:val="default"/>
    <w:pPr>
      <w:keepNext/>
      <w:spacing w:after="260" w:before="240"/>
      <w:jc w:val="left"/>
    </w:pPr>
    <w:rPr>
      <w:sz w:val="24"/>
    </w:rPr>
  </w:style>
  <w:style w:styleId="headline-content-0" w:type="paragraph">
    <w:name w:val="headline-content-0"/>
    <w:basedOn w:val="headline-content"/>
    <w:next w:val="par"/>
    <w:pPr>
      <w:keepNext/>
      <w:spacing w:after="0" w:before="240"/>
      <w:jc w:val="left"/>
    </w:pPr>
    <w:rPr>
      <w:b/>
    </w:rPr>
  </w:style>
  <w:style w:styleId="headline-content-0-hidden" w:type="paragraph">
    <w:basedOn w:val="headline-content-0"/>
  </w:style>
  <w:style w:styleId="headline-content-1" w:type="paragraph">
    <w:name w:val="headline-content-1"/>
    <w:basedOn w:val="headline-content"/>
    <w:next w:val="par"/>
    <w:pPr>
      <w:spacing w:after="0"/>
      <w:jc w:val="left"/>
      <w:outlineLvl w:val="0"/>
    </w:pPr>
    <w:rPr>
      <w:sz w:val="16"/>
    </w:rPr>
  </w:style>
  <w:style w:styleId="headline-content-1-hidden" w:type="paragraph">
    <w:basedOn w:val="headline-content-1"/>
  </w:style>
  <w:style w:styleId="label-first" w:type="paragraph">
    <w:name w:val="label-first"/>
    <w:basedOn w:val="default"/>
    <w:pPr>
      <w:spacing w:after="200"/>
    </w:pPr>
    <w:rPr>
      <w:b/>
      <w:sz w:val="20"/>
    </w:rPr>
  </w:style>
  <w:style w:styleId="label" w:type="paragraph">
    <w:name w:val="label"/>
    <w:basedOn w:val="default"/>
    <w:pPr>
      <w:suppressAutoHyphens w:val="on"/>
      <w:spacing w:before="200"/>
      <w:jc w:val="left"/>
    </w:pPr>
    <w:rPr>
      <w:b/>
      <w:sz w:val="20"/>
    </w:rPr>
  </w:style>
  <w:style w:styleId="par" w:type="paragraph">
    <w:name w:val="par"/>
    <w:basedOn w:val="default"/>
    <w:pPr>
      <w:suppressAutoHyphens w:val="on"/>
      <w:spacing w:after="200"/>
      <w:jc w:val="left"/>
    </w:pPr>
    <w:rPr/>
  </w:style>
  <w:style w:styleId="par-first" w:type="paragraph">
    <w:name w:val="par-first"/>
    <w:basedOn w:val="default"/>
    <w:pPr>
      <w:suppressAutoHyphens w:val="on"/>
      <w:spacing w:after="200"/>
      <w:jc w:val="left"/>
    </w:pPr>
    <w:rPr>
      <w:i/>
    </w:rPr>
  </w:style>
  <w:style w:styleId="media" w:type="paragraph">
    <w:name w:val="media"/>
    <w:basedOn w:val="default"/>
    <w:pPr>
      <w:ind w:right="3969"/>
    </w:pPr>
  </w:style>
  <w:style w:styleId="media-caption" w:type="paragraph">
    <w:name w:val="media-caption"/>
    <w:basedOn w:val="default"/>
    <w:pPr>
      <w:spacing w:before="120"/>
    </w:pPr>
    <w:rPr>
      <w:sz w:val="18"/>
    </w:rPr>
  </w:style>
  <w:style w:styleId="PageMargins" w:type="paragraph">
    <w:name w:val="PageMargins"/>
    <w:basedOn w:val="default"/>
    <w:pPr/>
  </w:style>
  <w:style w:styleId="Heading0" w:type="paragraph">
    <w:name w:val="Heading 0"/>
    <w:basedOn w:val="headline-content-0"/>
  </w:style>
  <w:style w:styleId="Heading1" w:type="paragraph">
    <w:name w:val="Heading 1"/>
    <w:basedOn w:val="headline-content-1"/>
  </w:style>
  <w:style w:styleId="Heading2" w:type="paragraph">
    <w:name w:val="Heading 2"/>
    <w:basedOn w:val="headline-content-2"/>
  </w:style>
  <w:style w:styleId="Heading3" w:type="paragraph">
    <w:name w:val="Heading 3"/>
    <w:basedOn w:val="headline-content-3"/>
  </w:style>
  <w:style w:styleId="Heading4" w:type="paragraph">
    <w:name w:val="Heading 4"/>
    <w:basedOn w:val="headline-content-4"/>
  </w:style>
  <w:style w:styleId="Heading5" w:type="paragraph">
    <w:name w:val="Heading 5"/>
    <w:basedOn w:val="headline-content-5"/>
  </w:style>
  <w:style w:styleId="Heading6" w:type="paragraph">
    <w:name w:val="Heading 6"/>
    <w:basedOn w:val="headline-content-6"/>
  </w:style>
  <w:style w:styleId="Heading7" w:type="paragraph">
    <w:name w:val="Heading 7"/>
    <w:basedOn w:val="headline-content-7"/>
  </w:style>
  <w:style w:styleId="headline-content-run0" w:type="character">
    <w:name w:val="headline-content-run 0"/>
  </w:style>
  <w:style w:styleId="headline-content-run1" w:type="character">
    <w:name w:val="headline-content-run 1"/>
  </w:style>
  <w:style w:styleId="headline-content-run2" w:type="character">
    <w:name w:val="headline-content-run 2"/>
  </w:style>
  <w:style w:styleId="headline-content-run3" w:type="character">
    <w:name w:val="headline-content-run 3"/>
  </w:style>
  <w:style w:styleId="headline-content-run4" w:type="character">
    <w:name w:val="headline-content-run 4"/>
  </w:style>
  <w:style w:styleId="headline-content-run5" w:type="character">
    <w:name w:val="headline-content-run 5"/>
  </w:style>
  <w:style w:styleId="headline-content-run6" w:type="character">
    <w:name w:val="headline-content-run 6"/>
  </w:style>
  <w:style w:styleId="headline-content-run7" w:type="character">
    <w:name w:val="headline-content-run 7"/>
  </w:style>
  <w:style w:styleId="TOC1" w:type="paragraph">
    <w:name w:val="toc 1"/>
    <w:basedOn w:val="default"/>
    <w:semiHidden/>
    <w:pPr>
      <w:tabs>
        <w:tab w:leader="dot" w:pos="9639" w:val="right"/>
      </w:tabs>
      <w:spacing w:after="0" w:before="0"/>
      <w:ind w:hanging="0" w:left="0"/>
    </w:pPr>
  </w:style>
  <w:style w:styleId="TOC2" w:type="paragraph">
    <w:name w:val="toc 2"/>
    <w:basedOn w:val="default"/>
    <w:semiHidden/>
    <w:pPr>
      <w:tabs>
        <w:tab w:pos="340.20000000000005" w:val="left"/>
        <w:tab w:leader="dot" w:pos="9639" w:val="right"/>
      </w:tabs>
      <w:spacing w:after="0" w:before="0"/>
      <w:ind w:hanging="340.20000000000005" w:left="340.20000000000005"/>
    </w:pPr>
  </w:style>
  <w:style w:styleId="TOC3" w:type="paragraph">
    <w:name w:val="toc 3"/>
    <w:basedOn w:val="default"/>
    <w:semiHidden/>
    <w:pPr>
      <w:tabs>
        <w:tab w:pos="340.20000000000005" w:val="left"/>
        <w:tab w:leader="dot" w:pos="9639" w:val="right"/>
      </w:tabs>
      <w:spacing w:after="0" w:before="0"/>
      <w:ind w:hanging="340.20000000000005" w:left="340.20000000000005"/>
    </w:pPr>
  </w:style>
  <w:style w:styleId="TOC4" w:type="paragraph">
    <w:name w:val="toc 4"/>
    <w:basedOn w:val="default"/>
    <w:semiHidden/>
    <w:pPr>
      <w:tabs>
        <w:tab w:pos="340.20000000000005" w:val="left"/>
        <w:tab w:leader="dot" w:pos="9639" w:val="right"/>
      </w:tabs>
      <w:spacing w:after="0" w:before="0"/>
      <w:ind w:hanging="340.20000000000005" w:left="340.20000000000005"/>
    </w:pPr>
  </w:style>
  <w:style w:styleId="TOC5" w:type="paragraph">
    <w:name w:val="toc 5"/>
    <w:basedOn w:val="default"/>
    <w:semiHidden/>
    <w:pPr>
      <w:tabs>
        <w:tab w:pos="340.20000000000005" w:val="left"/>
        <w:tab w:leader="dot" w:pos="9639" w:val="right"/>
      </w:tabs>
      <w:spacing w:after="0" w:before="0"/>
      <w:ind w:hanging="340.20000000000005" w:left="340.20000000000005"/>
    </w:pPr>
  </w:style>
  <w:style w:styleId="IndexHeading" w:type="paragraph">
    <w:name w:val="index heading"/>
    <w:basedOn w:val="default"/>
  </w:style>
  <w:style w:styleId="Index1" w:type="paragraph">
    <w:name w:val="index 1"/>
    <w:basedOn w:val="default"/>
  </w:style>
  <w:style w:styleId="Index2" w:type="paragraph">
    <w:name w:val="index 2"/>
    <w:basedOn w:val="default"/>
    <w:pPr>
      <w:ind w:hanging="200" w:left="480"/>
    </w:pPr>
  </w:style>
  <w:style w:styleId="TableofFigures" w:type="paragraph">
    <w:name w:val="table of figures"/>
    <w:basedOn w:val="default"/>
  </w:style>
  <w:style w:styleId="FootnoteReference" w:type="character">
    <w:name w:val="footnote reference"/>
    <w:rPr>
      <w:vertAlign w:val="superscript"/>
    </w:rPr>
  </w:style>
</w:styles>
</file>

<file path=word/webSettings.xml><?xml version="1.0" encoding="utf-8"?>
<w:webSettings xmlns:w="http://schemas.openxmlformats.org/wordprocessingml/2006/main">
  <w:optimizeForBrowser/>
</w:webSettings>
</file>

<file path=word/_rels/document.xml.rels><?xml version="1.0" encoding="UTF-8"?><Relationships xmlns="http://schemas.openxmlformats.org/package/2006/relationships"><Relationship Id="rId1" Target="styles.xml" Type="http://schemas.openxmlformats.org/officeDocument/2006/relationships/styles"/><Relationship Id="N104C4" Target="header1.xml" Type="http://schemas.openxmlformats.org/officeDocument/2006/relationships/header"/><Relationship Id="N1055B" Target="footer1.xml" Type="http://schemas.openxmlformats.org/officeDocument/2006/relationships/footer"/><Relationship Id="N1044E" Target="media/N1044E.jpg" Type="http://schemas.openxmlformats.org/officeDocument/2006/relationships/image"/><Relationship Id="rId5" Target="footnotes.xml" Type="http://schemas.openxmlformats.org/officeDocument/2006/relationships/footnotes"/><Relationship Id="rId6" Target="numbering.xml" Type="http://schemas.openxmlformats.org/officeDocument/2006/relationships/numbering"/><Relationship Id="rId7" Target="settings.xml" Type="http://schemas.openxmlformats.org/officeDocument/2006/relationships/settings"/><Relationship Id="rId8" Target="webSettings.xml" Type="http://schemas.openxmlformats.org/officeDocument/2006/relationships/webSettings"/></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N1052C" Target="media/N1052C.jpg" Type="http://schemas.openxmlformats.org/officeDocument/2006/relationships/image"/></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dc:title/>
  <dc:creator>Smart Media Creator</dc:creator>
  <cp:lastModifiedBy>Smart Media Creator</cp:lastModifiedBy>
  <cp:revision>1</cp:revision>
</cp:coreProperties>
</file>