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Default ContentType="image/jpeg" Extension="jpg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</Types>
</file>

<file path=_rels/.rels><?xml version="1.0" encoding="UTF-8"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pStyle w:val="headline-content-0"/>
        <w:keepNext/>
      </w:pPr>
      <w:r>
        <w:rPr>
          <w:rStyle w:val="headline-content-run0"/>
          <w:b/>
          <w:sz w:val="24"/>
        </w:rPr>
        <w:t xml:space="preserve">Maschineninteraktion neu gedacht</w:t>
      </w:r>
    </w:p>
    <w:p>
      <w:pPr>
        <w:pStyle w:val="label-first"/>
        <w:keepNext/>
        <w:ind w:left="0"/>
      </w:pPr>
    </w:p>
    <w:p>
      <w:pPr>
        <w:pStyle w:val="par-first"/>
        <w:ind w:left="0"/>
        <w:jc w:val="left"/>
      </w:pPr>
      <w:r>
        <w:rPr>
          <w:i/>
          <w:i/>
        </w:rPr>
        <w:t xml:space="preserve">Mit einer Vielzahl an Innovationen rund um Human Machine Interfaces (HMI) setzt B&amp;R neue Impulse für die Mensch-Maschine-Interaktion. Denn das HMI ist längst mehr als eine reine Bedienoberfläche: Es prägt das Nutzererlebnis einer Maschine, entscheidet darüber, wie intuitiv Bedienung funktioniert und wie effizient Prozesse ablaufen. Mit einem breiten Portfolio skalierbarer HMI-Lösungen bietet B&amp;R Maschinenbauern die Freiheit, für jede Anforderung das passende Konzept umzusetzen.</w:t>
      </w:r>
    </w:p>
    <w:p>
      <w:pPr>
        <w:pStyle w:val="label"/>
        <w:keepNext/>
        <w:ind w:left="0"/>
      </w:pPr>
    </w:p>
    <w:p>
      <w:pPr>
        <w:pStyle w:val="par"/>
        <w:ind w:left="0"/>
      </w:pPr>
      <w:r>
        <w:rPr/>
        <w:t xml:space="preserve">„Mit unserem skalierbaren HMI- und Automation-PC-Portfolio, offenen Technologien und langfristigem Lifecycle-Support bieten wir Maschinenbauern ein echtes Rundum-sorglos-Paket – von der einzelnen Maschine bis hin zur kompletten Serie“, so Klemens Sattlegger, Global Product Group Manager HMI / Industrial Computing. </w:t>
      </w:r>
      <w:r>
        <w:rPr/>
        <w:t xml:space="preserve">„Ergänzt durch unser Visualisierungspaket und die integrierte Entwicklungsumgebung entsteht ein durchgängiges Ökosystem.“</w:t>
      </w:r>
    </w:p>
    <w:p>
      <w:pPr>
        <w:pStyle w:val="label"/>
        <w:keepNext/>
        <w:ind w:left="0"/>
      </w:pPr>
      <w:r>
        <w:rPr>
          <w:b/>
          <w:sz w:val="20"/>
        </w:rPr>
        <w:t xml:space="preserve">Neue Maßstäbe bei Performance und Cyber Security </w:t>
      </w:r>
    </w:p>
    <w:p>
      <w:pPr>
        <w:pStyle w:val="par"/>
        <w:ind w:left="0"/>
      </w:pPr>
      <w:r>
        <w:rPr/>
        <w:t xml:space="preserve">Wie dieses Rundum-sorglos-Paket in der Praxis aussieht, zeigt B&amp;R mit einer Reihe von Produktneuheiten. Mit dem APC 40A präsentiert B&amp;R einen leistungsstarken Industrie-PC, der auf AMD-Prozessortechnologie setzt. Dank integrierter NPU mit bis zu 50 TOPS Leistung ist die Plattform optimal auf KI-Anforderungen vorbereitet. Integrierte Security-by-Design-Funktionen unterstützen Maschinenbauer dabei, aktuelle und zukünftige Sicherheitsanforderungen zu erfüllen. </w:t>
      </w:r>
    </w:p>
    <w:p>
      <w:pPr>
        <w:pStyle w:val="label"/>
        <w:keepNext/>
        <w:ind w:left="0"/>
      </w:pPr>
      <w:r>
        <w:rPr>
          <w:b/>
          <w:sz w:val="20"/>
        </w:rPr>
        <w:t xml:space="preserve">Individualisierung ab Losgröße 1 </w:t>
      </w:r>
    </w:p>
    <w:p>
      <w:pPr>
        <w:pStyle w:val="par"/>
        <w:ind w:left="0"/>
      </w:pPr>
      <w:r>
        <w:rPr/>
        <w:t xml:space="preserve">Mit dem Automation Panel 1500 zeigt B&amp;R, wie moderne HMI-Lösungen aussehen. Kamera, RFID-Leser, und LED-Statusleiste sind direkt im Gerät integriert. Gleichzeitig haben Maschinenbauer, ab Losgröße 1, die Möglichkeit Logos Beschriftungen und Funktionstasten des Panels flexibel an das jeweilige Maschinendesign anzupassen. </w:t>
      </w:r>
    </w:p>
    <w:p>
      <w:pPr>
        <w:pStyle w:val="label"/>
        <w:keepNext/>
        <w:ind w:left="0"/>
      </w:pPr>
      <w:r>
        <w:rPr>
          <w:b/>
          <w:sz w:val="20"/>
        </w:rPr>
        <w:t xml:space="preserve">Integration von mapp View direkt auf der Hardware</w:t>
      </w:r>
    </w:p>
    <w:p>
      <w:pPr>
        <w:pStyle w:val="par"/>
        <w:ind w:left="0"/>
      </w:pPr>
      <w:r>
        <w:rPr/>
        <w:t xml:space="preserve">Für Anwendungen, bei denen Kompaktheit im Vordergrund steht, erweitert B&amp;R zudem sein Power-Panel-Portfolio. Das Power Panel C650, als erstes Mitglied der neuen Power-Panel-600-Familie, kombiniert Visualisierung, Steuerung und Engineering in einem durchgängigen System. Mit mapp View EMB hält zudem die bewährte mapp View Software Einzug in die Power-Panel-Welt. Maschinenbauer profitieren von einem einheitlichen Engineering-Ansatz über verschiedene HMI-Plattformen hinweg und können anspruchsvolle Visualisierungslösungen mit geringeren Hardwareanforderungen realisieren.</w:t>
      </w:r>
    </w:p>
    <w:p>
      <w:pPr>
        <w:pStyle w:val="label"/>
        <w:keepNext/>
        <w:ind w:left="0"/>
      </w:pPr>
      <w:r>
        <w:rPr>
          <w:b/>
          <w:sz w:val="20"/>
        </w:rPr>
        <w:t xml:space="preserve">Künstliche Intelligenz im HMI </w:t>
      </w:r>
    </w:p>
    <w:p>
      <w:pPr>
        <w:pStyle w:val="par"/>
        <w:ind w:left="0"/>
      </w:pPr>
      <w:r>
        <w:rPr/>
        <w:t xml:space="preserve">Wie künstliche Intelligenz die Bedienung von Maschinen künftig vereinfachen kann, zeigt B&amp;R auf der SPS 2026 mit einem neuen AI-Assistenten. Dieser nutzt ausschließlich Daten aus dem Maschinenhandbuch und der Maschinensteuerung und stellt Anwendern relevantes Wissen direkt im HMI zur Verfügung. Da die Lösung vollständig on-premise betrieben wird, bleiben sensible Maschinen- und Produktionsdaten jederzeit unter Kontrolle des Betreibers.</w:t>
      </w:r>
    </w:p>
    <w:p>
      <w:pPr>
        <w:pStyle w:val="label"/>
        <w:keepNext/>
        <w:ind w:left="0"/>
      </w:pPr>
      <w:r>
        <w:rPr>
          <w:b/>
          <w:sz w:val="20"/>
        </w:rPr>
        <w:t xml:space="preserve">SPS 2026 </w:t>
      </w:r>
    </w:p>
    <w:p>
      <w:pPr>
        <w:pStyle w:val="par"/>
        <w:ind w:left="0"/>
      </w:pPr>
      <w:r>
        <w:rPr/>
        <w:t xml:space="preserve">In addition to showcasing the next generation of human-machine interaction, B&amp;R will present numerous other innovations from the world of industrial automation at SPS 2026.   </w:t>
      </w:r>
    </w:p>
    <w:p>
      <w:pPr>
        <w:pStyle w:val="par"/>
        <w:ind w:left="0"/>
      </w:pPr>
      <w:r>
        <w:rPr/>
        <w:t xml:space="preserve">Visit B&amp;R at SPS 2026 in Hall 7, Booth 206</w:t>
      </w:r>
    </w:p>
    <w:p>
      <w:pPr>
        <w:pStyle w:val="label"/>
        <w:keepNext/>
        <w:ind w:left="0"/>
      </w:pPr>
      <w:r>
        <w:rPr>
          <w:b/>
          <w:sz w:val="20"/>
        </w:rPr>
        <w:t xml:space="preserve">About Machine Automation, ABB  </w:t>
      </w:r>
    </w:p>
    <w:p>
      <w:pPr>
        <w:pStyle w:val="par"/>
        <w:ind w:left="0"/>
      </w:pPr>
      <w:r>
        <w:rPr/>
        <w:t xml:space="preserve">Neben der nächsten Generation der Mensch-Maschine-Interaktion präsentiert B&amp;R auf der SPS 2026 zahlreiche weitere Innovationen aus der Welt der Automatisierungstechnik.    Besuchen Sie B&amp;R auf der SPS 2026 in Halle 7, Stand 206.</w:t>
      </w:r>
    </w:p>
    <w:p>
      <w:pPr/>
    </w:p>
    <w:bookmarkStart w:id="11" w:name="_XREFN100C2"/>
    <w:bookmarkStart w:id="12" w:name="_XREFN100C7"/>
    <w:p>
      <w:pPr>
        <w:keepNext/>
        <w:spacing w:after="20" w:before="0"/>
        <w:ind w:left="0"/>
      </w:pPr>
      <w:r>
        <w:drawing>
          <wp:inline xmlns:wp="http://schemas.openxmlformats.org/drawingml/2006/wordprocessingDrawing" distB="0" distL="0" distR="0" distT="0">
            <wp:extent cx="3600000" cy="2400000"/>
            <wp:effectExtent b="0" l="0" r="0" t="0"/>
            <wp:docPr id="1" name="APC40A Redefining Machine Inter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C40A Redefining Machine Interaction"/>
                    <pic:cNvPicPr/>
                  </pic:nvPicPr>
                  <pic:blipFill>
                    <a:blip xmlns:r="http://schemas.openxmlformats.org/officeDocument/2006/relationships" cstate="print" r:embed="N1045D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dia-caption"/>
        <w:ind w:left="0"/>
      </w:pPr>
      <w:r>
        <w:t xml:space="preserve">Die Machine Automation Division (B&amp;R) von ABB präsentiert die nächste Generation von HMI-Lösungen </w:t>
      </w:r>
    </w:p>
    <w:bookmarkEnd w:id="12"/>
    <w:bookmarkEnd w:id="11"/>
    <w:p>
      <w:pPr/>
    </w:p>
    <w:p>
      <w:pPr/>
    </w:p>
    <w:p>
      <w:pPr/>
    </w:p>
    <w:p>
      <w:pPr>
        <w:pStyle w:val="headline-content-1"/>
        <w:keepNext/>
      </w:pPr>
      <w:r>
        <w:rPr>
          <w:rStyle w:val="headline-content-run1"/>
          <w:sz w:val="16"/>
        </w:rPr>
        <w:t xml:space="preserve">Über Machine Automation, ABB</w:t>
      </w:r>
    </w:p>
    <w:p>
      <w:pPr>
        <w:pStyle w:val="par"/>
        <w:ind w:left="0"/>
      </w:pPr>
      <w:r>
        <w:rPr>
          <w:sz w:val="16"/>
        </w:rPr>
        <w:t xml:space="preserve">Die Machine Automation Division von ABB bietet Automatisierungslösungen und Dienstleistungen für Maschinen- und Fabrikanwendungen. Diese kommen in verschiedenen Branchen zum Einsatz, darunter Konsumgüter, Druckindustrie, Life Sciences, Kunststoffverarbeitung, Energie sowie maritime Anwendungen. Auf Basis des Produktportfolios und der Technologie von B&amp;R umfasst das Angebot integrierte Steuerungs- und Softwarelösungen. Ergänzt wird dies durch Antriebs- und Bewegungssteuerung, Mechatronik sowie weitere Technologien für die Maschinenautomatisierung. Ziel ist es, Prozesse zu vereinfachen und den Betrieb von Produktionsanlagen effizienter zu gestalten.</w:t>
      </w:r>
    </w:p>
    <w:sectPr>
      <w:headerReference xmlns:r="http://schemas.openxmlformats.org/officeDocument/2006/relationships" r:id="N104D3" w:type="default"/>
      <w:footerReference xmlns:r="http://schemas.openxmlformats.org/officeDocument/2006/relationships" r:id="N1056A" w:type="default"/>
      <w:type w:val="continuous"/>
      <w:pgSz w:code="9" w:h="16839" w:w="11907"/>
      <w:pgMar w:bottom="1984" w:footer="567" w:header="567" w:left="1134" w:right="1134" w:top="2268"/>
    </w:sectPr>
  </w:body>
</w:document>
</file>

<file path=word/footer1.xml><?xml version="1.0" encoding="utf-8"?>
<w:ftr xmlns:w="http://schemas.openxmlformats.org/wordprocessingml/2006/main">
  <w:tbl>
    <w:tblPr>
      <w:tblW w:type="dxa" w:w="9638"/>
      <w:tblInd w:type="dxa" w:w="0"/>
      <w:tblLayout w:type="fixed"/>
    </w:tblPr>
    <w:tblGrid>
      <w:gridCol w:w="4819"/>
      <w:gridCol w:w="4819"/>
    </w:tblGrid>
    <w:tr>
      <w:trPr>
        <w:trHeight w:hRule="exact" w:val="1417"/>
      </w:trPr>
      <w:tc>
        <w:tcPr>
          <w:tcW w:type="dxa" w:w="4819"/>
          <w:tcMar>
            <w:top w:type="dxa" w:w="226"/>
            <w:left w:type="dxa" w:w="0"/>
            <w:right w:type="dxa" w:w="0"/>
          </w:tcMar>
          <w:vAlign w:val="top"/>
        </w:tcPr>
        <w:p>
          <w:pPr>
            <w:pStyle w:val="footer"/>
            <w:ind w:left="0"/>
            <w:jc w:val="left"/>
          </w:pPr>
          <w:r>
            <w:rPr>
              <w:sz w:val="14"/>
            </w:rPr>
            <w:t>Pressekontakt</w:t>
          </w:r>
          <w:r>
            <w:rPr>
              <w:sz w:val="14"/>
            </w:rPr>
            <w:t xml:space="preserve">:</w:t>
          </w:r>
          <w:r>
            <w:br w:type="textWrapping"/>
          </w:r>
          <w:r>
            <w:br w:type="textWrapping"/>
          </w:r>
          <w:r>
            <w:br w:type="textWrapping"/>
          </w:r>
          <w:r>
            <w:rPr>
              <w:sz w:val="14"/>
            </w:rPr>
            <w:t xml:space="preserve">press.br@abb.com</w:t>
          </w:r>
          <w:r>
            <w:br w:type="textWrapping"/>
          </w:r>
          <w:r>
            <w:br w:type="textWrapping"/>
          </w:r>
        </w:p>
      </w:tc>
      <w:tc>
        <w:tcPr>
          <w:tcW w:type="dxa" w:w="4819"/>
          <w:tcMar>
            <w:top w:type="dxa" w:w="226"/>
            <w:left w:type="dxa" w:w="0"/>
            <w:right w:type="dxa" w:w="0"/>
          </w:tcMar>
          <w:vAlign w:val="top"/>
        </w:tcPr>
        <w:p>
          <w:pPr>
            <w:pStyle w:val="footer"/>
            <w:spacing w:after="0"/>
            <w:ind w:left="0"/>
            <w:jc w:val="right"/>
          </w:pPr>
          <w:r>
            <w:br w:type="textWrapping"/>
          </w:r>
          <w:r>
            <w:rPr>
              <w:sz w:val="14"/>
            </w:rPr>
            <w:t>Seite</w:t>
          </w:r>
          <w:r>
            <w:rPr>
              <w:rFonts w:ascii="Arial" w:hAnsi="Arial"/>
            </w:rPr>
            <w:t> </w:t>
          </w:r>
          <w:r>
            <w:rPr>
              <w:b/>
              <w:sz w:val="14"/>
            </w:rPr>
            <w:fldChar w:fldCharType="begin"/>
            <w:instrText xml:space="preserve"> PAGE \* Arabic </w:instrText>
            <w:fldChar w:fldCharType="end"/>
          </w:r>
          <w:r>
            <w:rPr>
              <w:b/>
              <w:sz w:val="14"/>
            </w:rPr>
            <w:t xml:space="preserve">/</w:t>
          </w:r>
          <w:r>
            <w:rPr>
              <w:b/>
              <w:sz w:val="14"/>
            </w:rPr>
            <w:fldChar w:fldCharType="begin"/>
            <w:instrText xml:space="preserve"> NUMPAGES   \* MERGEFORMAT </w:instrText>
            <w:fldChar w:fldCharType="end"/>
          </w:r>
        </w:p>
      </w:tc>
    </w:tr>
  </w:tbl>
</w:ftr>
</file>

<file path=word/footnotes.xml><?xml version="1.0" encoding="utf-8"?>
<w:footnotes xmlns:w="http://schemas.openxmlformats.org/wordprocessingml/2006/main"/>
</file>

<file path=word/header1.xml><?xml version="1.0" encoding="utf-8"?>
<w:hdr xmlns:w="http://schemas.openxmlformats.org/wordprocessingml/2006/main">
  <w:tbl>
    <w:tblPr>
      <w:tblW w:type="dxa" w:w="9638"/>
      <w:tblInd w:type="dxa" w:w="0"/>
      <w:tblLayout w:type="fixed"/>
    </w:tblPr>
    <w:tblGrid>
      <w:gridCol w:w="5783"/>
      <w:gridCol w:w="3855"/>
    </w:tblGrid>
    <w:tr>
      <w:trPr/>
      <w:tc>
        <w:tcPr>
          <w:tcW w:type="dxa" w:w="5783"/>
          <w:shd w:fill="FFFFFF" w:val="clear"/>
          <w:tcMar>
            <w:top w:type="dxa" w:w="226"/>
            <w:left w:type="dxa" w:w="0"/>
            <w:bottom w:type="dxa" w:w="226"/>
            <w:right w:type="dxa" w:w="0"/>
          </w:tcMar>
          <w:vAlign w:val="bottom"/>
        </w:tcPr>
        <w:p>
          <w:pPr>
            <w:pStyle w:val="header"/>
            <w:spacing w:after="0"/>
            <w:ind w:left="0"/>
            <w:jc w:val="left"/>
          </w:pPr>
          <w:r>
            <w:rPr>
              <w:b/>
              <w:color w:val="000000"/>
              <w:sz w:val="32"/>
            </w:rPr>
            <w:t>Pressemitteilung</w:t>
          </w:r>
        </w:p>
      </w:tc>
      <w:tc>
        <w:tcPr>
          <w:tcW w:type="dxa" w:w="3855"/>
          <w:shd w:fill="FFFFFF" w:val="clear"/>
          <w:tcMar>
            <w:top w:type="dxa" w:w="226"/>
            <w:left w:type="dxa" w:w="0"/>
            <w:bottom w:type="dxa" w:w="226"/>
            <w:right w:type="dxa" w:w="0"/>
          </w:tcMar>
          <w:vAlign w:val="bottom"/>
        </w:tcPr>
        <w:p>
          <w:pPr>
            <w:pStyle w:val="header-logo"/>
            <w:spacing w:after="0"/>
            <w:ind w:left="0"/>
            <w:jc w:val="right"/>
          </w:pPr>
          <w:r>
            <w:drawing>
              <wp:inline xmlns:wp="http://schemas.openxmlformats.org/drawingml/2006/wordprocessingDrawing" distB="0" distL="0" distR="0" distT="0">
                <wp:extent cx="1505712" cy="518160"/>
                <wp:effectExtent b="0" l="0" r="0" t="0"/>
                <wp:docPr id="2" name="logo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2022"/>
                        <pic:cNvPicPr/>
                      </pic:nvPicPr>
                      <pic:blipFill>
                        <a:blip xmlns:r="http://schemas.openxmlformats.org/officeDocument/2006/relationships" cstate="print" r:embed="N1053B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5712" cy="518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="http://schemas.openxmlformats.org/wordprocessingml/2006/main">
  <w:abstractNum w:abstractNumId="2">
    <w:nsid w:val="0E6454FE"/>
    <w:multiLevelType w:val="multilevel"/>
    <w:tmpl w:val="D386552E"/>
    <w:lvl w:ilvl="0">
      <w:start w:val="1"/>
      <w:pStyle w:val="headline-content-1"/>
      <w:suff w:val="tab"/>
      <w:lvlText w:val="%1"/>
      <w:lvlJc w:val="left"/>
      <w:pPr>
        <w:tabs>
          <w:tab w:pos="1417.5" w:val="num"/>
        </w:tabs>
        <w:ind w:hanging="1417.5" w:left="1417.5"/>
      </w:pPr>
    </w:lvl>
    <w:lvl w:ilvl="1">
      <w:start w:val="1"/>
      <w:suff w:val="tab"/>
      <w:lvlText w:val="%1.%2"/>
      <w:lvlJc w:val="left"/>
      <w:pPr>
        <w:tabs>
          <w:tab w:pos="1417.5" w:val="num"/>
        </w:tabs>
        <w:ind w:hanging="1417.5" w:left="1417.5"/>
      </w:pPr>
    </w:lvl>
    <w:lvl w:ilvl="2">
      <w:start w:val="1"/>
      <w:suff w:val="tab"/>
      <w:lvlText w:val="%1.%2.%3"/>
      <w:lvlJc w:val="left"/>
      <w:pPr>
        <w:tabs>
          <w:tab w:pos="1417.5" w:val="num"/>
        </w:tabs>
        <w:ind w:hanging="1417.5" w:left="1417.5"/>
      </w:pPr>
    </w:lvl>
    <w:lvl w:ilvl="3">
      <w:start w:val="1"/>
      <w:suff w:val="tab"/>
      <w:lvlText w:val="%1.%2.%3.%4"/>
      <w:lvlJc w:val="left"/>
      <w:pPr>
        <w:tabs>
          <w:tab w:pos="1417.5" w:val="num"/>
        </w:tabs>
        <w:ind w:hanging="1417.5" w:left="1417.5"/>
      </w:pPr>
    </w:lvl>
    <w:lvl w:ilvl="4">
      <w:start w:val="1"/>
      <w:suff w:val="tab"/>
      <w:lvlText w:val="%1.%2.%3.%4.%5"/>
      <w:lvlJc w:val="left"/>
      <w:pPr>
        <w:tabs>
          <w:tab w:pos="1417.5" w:val="num"/>
        </w:tabs>
        <w:ind w:hanging="1417.5" w:left="1417.5"/>
      </w:pPr>
    </w:lvl>
    <w:lvl w:ilvl="5">
      <w:start w:val="1"/>
      <w:suff w:val="tab"/>
      <w:lvlText w:val="%1.%2.%3.%4.%5.%6"/>
      <w:lvlJc w:val="left"/>
      <w:pPr>
        <w:tabs>
          <w:tab w:pos="1417.5" w:val="num"/>
        </w:tabs>
        <w:ind w:hanging="1417.5" w:left="1417.5"/>
      </w:pPr>
    </w:lvl>
    <w:lvl w:ilvl="6">
      <w:start w:val="1"/>
      <w:suff w:val="tab"/>
      <w:lvlText w:val="%1.%2.%3.%4.%5.%6.%7"/>
      <w:lvlJc w:val="left"/>
      <w:pPr>
        <w:tabs>
          <w:tab w:pos="1417.5" w:val="num"/>
        </w:tabs>
        <w:ind w:hanging="1417.5" w:left="1417.5"/>
      </w:pPr>
    </w:lvl>
    <w:lvl w:ilvl="7">
      <w:start w:val="1"/>
      <w:suff w:val="tab"/>
      <w:lvlText w:val="%1.%2.%3.%4.%5.%6.%7.%8"/>
      <w:lvlJc w:val="left"/>
      <w:pPr>
        <w:tabs>
          <w:tab w:pos="1417.5" w:val="num"/>
        </w:tabs>
        <w:ind w:hanging="1417.5" w:left="1417.5"/>
      </w:pPr>
    </w:lvl>
  </w:abstractNum>
  <w:abstractNum w:abstractNumId="6">
    <w:multiLevelType w:val="hybridMultilevel"/>
    <w:lvl w:ilvl="0" w:tplc="CB7E2DBC">
      <w:start w:val="1"/>
      <w:numFmt w:val="bullet"/>
      <w:lvlText w:val="►"/>
      <w:lvlJc w:val="left"/>
      <w:pPr>
        <w:ind w:hanging="360" w:left="720"/>
      </w:pPr>
      <w:rPr>
        <w:rFonts w:ascii="Arial" w:eastAsia="AR PL KaitiM Big5" w:hAnsi="Arial" w:hint="default"/>
        <w:color w:val="97AA61"/>
        <w:sz w:val="16"/>
      </w:rPr>
    </w:lvl>
  </w:abstractNum>
  <w:num w:numId="3">
    <w:abstractNumId w:val="2"/>
  </w:num>
  <w:num w:numId="7">
    <w:abstractNumId w:val="6"/>
  </w:num>
  <w:numIdMacAtCleanup w:val="12"/>
</w:numbering>
</file>

<file path=word/settings.xml><?xml version="1.0" encoding="utf-8"?>
<w:settings xmlns:w="http://schemas.openxmlformats.org/wordprocessingml/2006/main">
  <w:view w:val="print"/>
  <w:zoom w:percent="100"/>
  <w:embedSystemFonts w:val="off"/>
  <w:defaultTabStop w:val="708"/>
  <w:autoHyphenation/>
  <w:hyphenationZone w:val="425"/>
  <w:noPunctuationKerning w:val="on"/>
  <w:characterSpacingControl w:val="doNotCompress"/>
  <w:ignoreMixedContent w:val="off"/>
  <w:alwaysShowPlaceholderText w:val="off"/>
  <w:compat>
    <w:suppressTopSpacing w:val="on"/>
    <w:suppressSpBfAfterPgBrk w:val="on"/>
    <w:doNotBreakWrappedTables w:val="off"/>
    <w:doNotSnapToGridInCell w:val="off"/>
    <w:doNotWrapTextWithPunct w:val="off"/>
    <w:doNotUseEastAsianBreakRules w:val="off"/>
    <w:growAutofit w:val="off"/>
  </w:compat>
</w:settings>
</file>

<file path=word/styles.xml><?xml version="1.0" encoding="utf-8"?>
<w:styles xmlns:w="http://schemas.openxmlformats.org/wordprocessingml/2006/main">
  <w:docDefaults>
    <w:rPrDefault>
      <w:rPr/>
    </w:rPrDefault>
    <w:pPrDefault>
      <w:pPr/>
    </w:pPrDefault>
  </w:docDefaults>
  <w:style w:default="on" w:styleId="default" w:type="paragraph">
    <w:name w:val="default"/>
    <w:pPr>
      <w:jc w:val="left"/>
    </w:pPr>
    <w:rPr>
      <w:rFonts w:ascii="Arial" w:hAnsi="Arial"/>
      <w:sz w:val="20"/>
    </w:rPr>
  </w:style>
  <w:style w:styleId="container-block" w:type="paragraph">
    <w:name w:val="container-block"/>
    <w:basedOn w:val="default"/>
    <w:pPr>
      <w:spacing w:after="200"/>
      <w:jc w:val="left"/>
    </w:pPr>
  </w:style>
  <w:style w:styleId="header" w:type="paragraph">
    <w:name w:val="header"/>
    <w:basedOn w:val="default"/>
    <w:pPr>
      <w:shd w:fill="FFFFFF" w:val="clear"/>
      <w:jc w:val="left"/>
    </w:pPr>
    <w:rPr>
      <w:b/>
      <w:color w:val="000000"/>
      <w:sz w:val="32"/>
    </w:rPr>
  </w:style>
  <w:style w:styleId="header-logo" w:type="paragraph">
    <w:name w:val="header-logo"/>
    <w:basedOn w:val="default"/>
    <w:pPr>
      <w:shd w:fill="FFFFFF" w:val="clear"/>
    </w:pPr>
    <w:rPr>
      <w:b/>
      <w:caps/>
      <w:color w:val="FFFFFF"/>
      <w:sz w:val="32"/>
    </w:rPr>
  </w:style>
  <w:style w:styleId="table-cell" w:type="paragraph">
    <w:name w:val="table-cell"/>
    <w:basedOn w:val="default"/>
    <w:pPr/>
  </w:style>
  <w:style w:styleId="footer" w:type="paragraph">
    <w:name w:val="footer"/>
    <w:basedOn w:val="default"/>
    <w:pPr>
      <w:jc w:val="left"/>
    </w:pPr>
    <w:rPr>
      <w:sz w:val="14"/>
    </w:rPr>
  </w:style>
  <w:style w:styleId="headline-content" w:type="paragraph">
    <w:name w:val="headline-content"/>
    <w:basedOn w:val="default"/>
    <w:pPr>
      <w:keepNext/>
      <w:spacing w:after="260" w:before="240"/>
      <w:jc w:val="left"/>
    </w:pPr>
    <w:rPr>
      <w:sz w:val="24"/>
    </w:rPr>
  </w:style>
  <w:style w:styleId="headline-content-0" w:type="paragraph">
    <w:name w:val="headline-content-0"/>
    <w:basedOn w:val="headline-content"/>
    <w:next w:val="par"/>
    <w:pPr>
      <w:keepNext/>
      <w:spacing w:after="0" w:before="240"/>
      <w:jc w:val="left"/>
    </w:pPr>
    <w:rPr>
      <w:b/>
    </w:rPr>
  </w:style>
  <w:style w:styleId="headline-content-0-hidden" w:type="paragraph">
    <w:basedOn w:val="headline-content-0"/>
  </w:style>
  <w:style w:styleId="headline-content-1" w:type="paragraph">
    <w:name w:val="headline-content-1"/>
    <w:basedOn w:val="headline-content"/>
    <w:next w:val="par"/>
    <w:pPr>
      <w:spacing w:after="0"/>
      <w:jc w:val="left"/>
      <w:outlineLvl w:val="0"/>
    </w:pPr>
    <w:rPr>
      <w:sz w:val="16"/>
    </w:rPr>
  </w:style>
  <w:style w:styleId="headline-content-1-hidden" w:type="paragraph">
    <w:basedOn w:val="headline-content-1"/>
  </w:style>
  <w:style w:styleId="label-first" w:type="paragraph">
    <w:name w:val="label-first"/>
    <w:basedOn w:val="default"/>
    <w:pPr>
      <w:spacing w:after="200"/>
    </w:pPr>
    <w:rPr>
      <w:b/>
      <w:sz w:val="20"/>
    </w:rPr>
  </w:style>
  <w:style w:styleId="label" w:type="paragraph">
    <w:name w:val="label"/>
    <w:basedOn w:val="default"/>
    <w:pPr>
      <w:suppressAutoHyphens w:val="on"/>
      <w:spacing w:before="200"/>
      <w:jc w:val="left"/>
    </w:pPr>
    <w:rPr>
      <w:b/>
      <w:sz w:val="20"/>
    </w:rPr>
  </w:style>
  <w:style w:styleId="par" w:type="paragraph">
    <w:name w:val="par"/>
    <w:basedOn w:val="default"/>
    <w:pPr>
      <w:suppressAutoHyphens w:val="on"/>
      <w:spacing w:after="200"/>
      <w:jc w:val="left"/>
    </w:pPr>
    <w:rPr/>
  </w:style>
  <w:style w:styleId="par-first" w:type="paragraph">
    <w:name w:val="par-first"/>
    <w:basedOn w:val="default"/>
    <w:pPr>
      <w:suppressAutoHyphens w:val="on"/>
      <w:spacing w:after="200"/>
      <w:jc w:val="left"/>
    </w:pPr>
    <w:rPr>
      <w:i/>
    </w:rPr>
  </w:style>
  <w:style w:styleId="media" w:type="paragraph">
    <w:name w:val="media"/>
    <w:basedOn w:val="default"/>
    <w:pPr>
      <w:ind w:right="3969"/>
    </w:pPr>
  </w:style>
  <w:style w:styleId="media-caption" w:type="paragraph">
    <w:name w:val="media-caption"/>
    <w:basedOn w:val="default"/>
    <w:pPr>
      <w:spacing w:before="120"/>
    </w:pPr>
    <w:rPr>
      <w:sz w:val="18"/>
    </w:rPr>
  </w:style>
  <w:style w:styleId="PageMargins" w:type="paragraph">
    <w:name w:val="PageMargins"/>
    <w:basedOn w:val="default"/>
    <w:pPr/>
  </w:style>
  <w:style w:styleId="Heading0" w:type="paragraph">
    <w:name w:val="Heading 0"/>
    <w:basedOn w:val="headline-content-0"/>
  </w:style>
  <w:style w:styleId="Heading1" w:type="paragraph">
    <w:name w:val="Heading 1"/>
    <w:basedOn w:val="headline-content-1"/>
  </w:style>
  <w:style w:styleId="Heading2" w:type="paragraph">
    <w:name w:val="Heading 2"/>
    <w:basedOn w:val="headline-content-2"/>
  </w:style>
  <w:style w:styleId="Heading3" w:type="paragraph">
    <w:name w:val="Heading 3"/>
    <w:basedOn w:val="headline-content-3"/>
  </w:style>
  <w:style w:styleId="Heading4" w:type="paragraph">
    <w:name w:val="Heading 4"/>
    <w:basedOn w:val="headline-content-4"/>
  </w:style>
  <w:style w:styleId="Heading5" w:type="paragraph">
    <w:name w:val="Heading 5"/>
    <w:basedOn w:val="headline-content-5"/>
  </w:style>
  <w:style w:styleId="Heading6" w:type="paragraph">
    <w:name w:val="Heading 6"/>
    <w:basedOn w:val="headline-content-6"/>
  </w:style>
  <w:style w:styleId="Heading7" w:type="paragraph">
    <w:name w:val="Heading 7"/>
    <w:basedOn w:val="headline-content-7"/>
  </w:style>
  <w:style w:styleId="headline-content-run0" w:type="character">
    <w:name w:val="headline-content-run 0"/>
  </w:style>
  <w:style w:styleId="headline-content-run1" w:type="character">
    <w:name w:val="headline-content-run 1"/>
  </w:style>
  <w:style w:styleId="headline-content-run2" w:type="character">
    <w:name w:val="headline-content-run 2"/>
  </w:style>
  <w:style w:styleId="headline-content-run3" w:type="character">
    <w:name w:val="headline-content-run 3"/>
  </w:style>
  <w:style w:styleId="headline-content-run4" w:type="character">
    <w:name w:val="headline-content-run 4"/>
  </w:style>
  <w:style w:styleId="headline-content-run5" w:type="character">
    <w:name w:val="headline-content-run 5"/>
  </w:style>
  <w:style w:styleId="headline-content-run6" w:type="character">
    <w:name w:val="headline-content-run 6"/>
  </w:style>
  <w:style w:styleId="headline-content-run7" w:type="character">
    <w:name w:val="headline-content-run 7"/>
  </w:style>
  <w:style w:styleId="TOC1" w:type="paragraph">
    <w:name w:val="toc 1"/>
    <w:basedOn w:val="default"/>
    <w:semiHidden/>
    <w:pPr>
      <w:tabs>
        <w:tab w:leader="dot" w:pos="9639" w:val="right"/>
      </w:tabs>
      <w:spacing w:after="0" w:before="0"/>
      <w:ind w:hanging="0" w:left="0"/>
    </w:pPr>
  </w:style>
  <w:style w:styleId="TOC2" w:type="paragraph">
    <w:name w:val="toc 2"/>
    <w:basedOn w:val="default"/>
    <w:semiHidden/>
    <w:pPr>
      <w:tabs>
        <w:tab w:pos="340.20000000000005" w:val="left"/>
        <w:tab w:leader="dot" w:pos="9639" w:val="right"/>
      </w:tabs>
      <w:spacing w:after="0" w:before="0"/>
      <w:ind w:hanging="340.20000000000005" w:left="340.20000000000005"/>
    </w:pPr>
  </w:style>
  <w:style w:styleId="TOC3" w:type="paragraph">
    <w:name w:val="toc 3"/>
    <w:basedOn w:val="default"/>
    <w:semiHidden/>
    <w:pPr>
      <w:tabs>
        <w:tab w:pos="340.20000000000005" w:val="left"/>
        <w:tab w:leader="dot" w:pos="9639" w:val="right"/>
      </w:tabs>
      <w:spacing w:after="0" w:before="0"/>
      <w:ind w:hanging="340.20000000000005" w:left="340.20000000000005"/>
    </w:pPr>
  </w:style>
  <w:style w:styleId="TOC4" w:type="paragraph">
    <w:name w:val="toc 4"/>
    <w:basedOn w:val="default"/>
    <w:semiHidden/>
    <w:pPr>
      <w:tabs>
        <w:tab w:pos="340.20000000000005" w:val="left"/>
        <w:tab w:leader="dot" w:pos="9639" w:val="right"/>
      </w:tabs>
      <w:spacing w:after="0" w:before="0"/>
      <w:ind w:hanging="340.20000000000005" w:left="340.20000000000005"/>
    </w:pPr>
  </w:style>
  <w:style w:styleId="TOC5" w:type="paragraph">
    <w:name w:val="toc 5"/>
    <w:basedOn w:val="default"/>
    <w:semiHidden/>
    <w:pPr>
      <w:tabs>
        <w:tab w:pos="340.20000000000005" w:val="left"/>
        <w:tab w:leader="dot" w:pos="9639" w:val="right"/>
      </w:tabs>
      <w:spacing w:after="0" w:before="0"/>
      <w:ind w:hanging="340.20000000000005" w:left="340.20000000000005"/>
    </w:pPr>
  </w:style>
  <w:style w:styleId="IndexHeading" w:type="paragraph">
    <w:name w:val="index heading"/>
    <w:basedOn w:val="default"/>
  </w:style>
  <w:style w:styleId="Index1" w:type="paragraph">
    <w:name w:val="index 1"/>
    <w:basedOn w:val="default"/>
  </w:style>
  <w:style w:styleId="Index2" w:type="paragraph">
    <w:name w:val="index 2"/>
    <w:basedOn w:val="default"/>
    <w:pPr>
      <w:ind w:hanging="200" w:left="480"/>
    </w:pPr>
  </w:style>
  <w:style w:styleId="TableofFigures" w:type="paragraph">
    <w:name w:val="table of figures"/>
    <w:basedOn w:val="default"/>
  </w:style>
  <w:style w:styleId="FootnoteReference" w:type="character">
    <w:name w:val="foot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?><Relationships xmlns="http://schemas.openxmlformats.org/package/2006/relationships"><Relationship Id="rId1" Target="styles.xml" Type="http://schemas.openxmlformats.org/officeDocument/2006/relationships/styles"/><Relationship Id="N104D3" Target="header1.xml" Type="http://schemas.openxmlformats.org/officeDocument/2006/relationships/header"/><Relationship Id="N1056A" Target="footer1.xml" Type="http://schemas.openxmlformats.org/officeDocument/2006/relationships/footer"/><Relationship Id="N1045D" Target="media/N1045D.jpg" Type="http://schemas.openxmlformats.org/officeDocument/2006/relationships/image"/><Relationship Id="rId5" Target="footnotes.xml" Type="http://schemas.openxmlformats.org/officeDocument/2006/relationships/footnotes"/><Relationship Id="rId6" Target="numbering.xml" Type="http://schemas.openxmlformats.org/officeDocument/2006/relationships/numbering"/><Relationship Id="rId7" Target="settings.xml" Type="http://schemas.openxmlformats.org/officeDocument/2006/relationships/settings"/><Relationship Id="rId8" Target="webSettings.xml" Type="http://schemas.openxmlformats.org/officeDocument/2006/relationships/webSettings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N1053B" Target="media/N1053B.jpg" Type="http://schemas.openxmlformats.org/officeDocument/2006/relationships/image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>
  <dc:title/>
  <dc:creator>Smart Media Creator</dc:creator>
  <cp:lastModifiedBy>Smart Media Creator</cp:lastModifiedBy>
  <cp:revision>1</cp:revision>
</cp:coreProperties>
</file>